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788" w:rsidRPr="00D35276" w:rsidRDefault="00D35276" w:rsidP="00065788">
      <w:pPr>
        <w:autoSpaceDE w:val="0"/>
        <w:autoSpaceDN w:val="0"/>
        <w:adjustRightInd w:val="0"/>
        <w:spacing w:line="288" w:lineRule="auto"/>
        <w:rPr>
          <w:rFonts w:cs="Arial"/>
          <w:color w:val="000000" w:themeColor="text1"/>
          <w:szCs w:val="22"/>
          <w:lang w:eastAsia="en-NZ"/>
        </w:rPr>
      </w:pPr>
      <w:bookmarkStart w:id="0" w:name="Text10"/>
      <w:r w:rsidRPr="00D35276">
        <w:rPr>
          <w:rFonts w:cs="Arial"/>
          <w:color w:val="000000" w:themeColor="text1"/>
          <w:szCs w:val="22"/>
          <w:lang w:eastAsia="en-NZ"/>
        </w:rPr>
        <w:t>28 November 2014</w:t>
      </w:r>
    </w:p>
    <w:p w:rsidR="00065788" w:rsidRPr="00CC37AE" w:rsidRDefault="00065788" w:rsidP="00065788">
      <w:pPr>
        <w:autoSpaceDE w:val="0"/>
        <w:autoSpaceDN w:val="0"/>
        <w:adjustRightInd w:val="0"/>
        <w:spacing w:line="288" w:lineRule="auto"/>
        <w:rPr>
          <w:rFonts w:cs="Arial"/>
          <w:szCs w:val="22"/>
          <w:lang w:eastAsia="en-NZ"/>
        </w:rPr>
      </w:pPr>
    </w:p>
    <w:p w:rsidR="00065788" w:rsidRPr="00CC37AE" w:rsidRDefault="008C150A" w:rsidP="00065788">
      <w:pPr>
        <w:autoSpaceDE w:val="0"/>
        <w:autoSpaceDN w:val="0"/>
        <w:adjustRightInd w:val="0"/>
        <w:spacing w:line="288" w:lineRule="auto"/>
        <w:rPr>
          <w:rFonts w:cs="Arial"/>
          <w:szCs w:val="22"/>
          <w:lang w:eastAsia="en-NZ"/>
        </w:rPr>
      </w:pPr>
      <w:r>
        <w:rPr>
          <w:rFonts w:cs="Arial"/>
          <w:szCs w:val="22"/>
          <w:lang w:eastAsia="en-NZ"/>
        </w:rPr>
        <w:t xml:space="preserve">Ian </w:t>
      </w:r>
      <w:proofErr w:type="spellStart"/>
      <w:r w:rsidR="00B81E2F">
        <w:rPr>
          <w:rFonts w:cs="Arial"/>
          <w:szCs w:val="22"/>
          <w:lang w:eastAsia="en-NZ"/>
        </w:rPr>
        <w:t>Dempster</w:t>
      </w:r>
      <w:proofErr w:type="spellEnd"/>
    </w:p>
    <w:p w:rsidR="00065788" w:rsidRPr="00CC37AE" w:rsidRDefault="00065788" w:rsidP="00065788">
      <w:pPr>
        <w:autoSpaceDE w:val="0"/>
        <w:autoSpaceDN w:val="0"/>
        <w:adjustRightInd w:val="0"/>
        <w:spacing w:line="288" w:lineRule="auto"/>
        <w:rPr>
          <w:rFonts w:cs="Arial"/>
          <w:szCs w:val="22"/>
          <w:lang w:eastAsia="en-NZ"/>
        </w:rPr>
      </w:pPr>
      <w:r w:rsidRPr="00CC37AE">
        <w:rPr>
          <w:rFonts w:cs="Arial"/>
          <w:szCs w:val="22"/>
          <w:lang w:eastAsia="en-NZ"/>
        </w:rPr>
        <w:t>Gas Industry Company</w:t>
      </w:r>
    </w:p>
    <w:p w:rsidR="00065788" w:rsidRPr="00CC37AE" w:rsidRDefault="00065788" w:rsidP="00065788">
      <w:pPr>
        <w:autoSpaceDE w:val="0"/>
        <w:autoSpaceDN w:val="0"/>
        <w:adjustRightInd w:val="0"/>
        <w:spacing w:line="288" w:lineRule="auto"/>
        <w:rPr>
          <w:rFonts w:cs="Arial"/>
          <w:szCs w:val="22"/>
          <w:lang w:eastAsia="en-NZ"/>
        </w:rPr>
      </w:pPr>
      <w:r w:rsidRPr="00CC37AE">
        <w:rPr>
          <w:rFonts w:cs="Arial"/>
          <w:szCs w:val="22"/>
          <w:lang w:eastAsia="en-NZ"/>
        </w:rPr>
        <w:t>PO Box 10 646</w:t>
      </w:r>
    </w:p>
    <w:p w:rsidR="00065788" w:rsidRPr="00CC37AE" w:rsidRDefault="002128E4" w:rsidP="00065788">
      <w:pPr>
        <w:autoSpaceDE w:val="0"/>
        <w:autoSpaceDN w:val="0"/>
        <w:adjustRightInd w:val="0"/>
        <w:spacing w:line="288" w:lineRule="auto"/>
        <w:rPr>
          <w:rFonts w:cs="Arial"/>
          <w:szCs w:val="22"/>
          <w:lang w:eastAsia="en-NZ"/>
        </w:rPr>
      </w:pPr>
      <w:r>
        <w:rPr>
          <w:rFonts w:cs="Arial"/>
          <w:szCs w:val="22"/>
          <w:lang w:eastAsia="en-NZ"/>
        </w:rPr>
        <w:t>WELLINGTON</w:t>
      </w:r>
    </w:p>
    <w:p w:rsidR="00065788" w:rsidRPr="00CC37AE" w:rsidRDefault="00065788" w:rsidP="00065788">
      <w:pPr>
        <w:autoSpaceDE w:val="0"/>
        <w:autoSpaceDN w:val="0"/>
        <w:adjustRightInd w:val="0"/>
        <w:spacing w:line="288" w:lineRule="auto"/>
        <w:rPr>
          <w:rFonts w:cs="Arial"/>
          <w:szCs w:val="22"/>
          <w:lang w:eastAsia="en-NZ"/>
        </w:rPr>
      </w:pPr>
    </w:p>
    <w:bookmarkEnd w:id="0"/>
    <w:p w:rsidR="00065788" w:rsidRPr="00CC37AE" w:rsidRDefault="00065788" w:rsidP="00065788">
      <w:pPr>
        <w:spacing w:line="288" w:lineRule="auto"/>
        <w:jc w:val="both"/>
        <w:rPr>
          <w:rFonts w:cs="Arial"/>
          <w:szCs w:val="22"/>
        </w:rPr>
      </w:pPr>
    </w:p>
    <w:p w:rsidR="00065788" w:rsidRPr="00CC37AE" w:rsidRDefault="00065788" w:rsidP="00065788">
      <w:pPr>
        <w:spacing w:line="288" w:lineRule="auto"/>
        <w:jc w:val="both"/>
        <w:rPr>
          <w:rFonts w:cs="Arial"/>
          <w:szCs w:val="22"/>
        </w:rPr>
      </w:pPr>
      <w:r w:rsidRPr="00CC37AE">
        <w:rPr>
          <w:rFonts w:cs="Arial"/>
          <w:szCs w:val="22"/>
        </w:rPr>
        <w:t>[</w:t>
      </w:r>
      <w:r w:rsidR="002533B1" w:rsidRPr="00CC37AE">
        <w:rPr>
          <w:rFonts w:cs="Arial"/>
          <w:szCs w:val="22"/>
        </w:rPr>
        <w:t xml:space="preserve">Submitted via </w:t>
      </w:r>
      <w:r w:rsidR="000C1E28" w:rsidRPr="00CC37AE">
        <w:rPr>
          <w:rFonts w:cs="Arial"/>
          <w:szCs w:val="22"/>
        </w:rPr>
        <w:t>G</w:t>
      </w:r>
      <w:r w:rsidRPr="00CC37AE">
        <w:rPr>
          <w:rFonts w:cs="Arial"/>
          <w:szCs w:val="22"/>
        </w:rPr>
        <w:t>as</w:t>
      </w:r>
      <w:r w:rsidR="000C1E28" w:rsidRPr="00CC37AE">
        <w:rPr>
          <w:rFonts w:cs="Arial"/>
          <w:szCs w:val="22"/>
        </w:rPr>
        <w:t xml:space="preserve"> Industry C</w:t>
      </w:r>
      <w:r w:rsidR="002533B1" w:rsidRPr="00CC37AE">
        <w:rPr>
          <w:rFonts w:cs="Arial"/>
          <w:szCs w:val="22"/>
        </w:rPr>
        <w:t>o website</w:t>
      </w:r>
      <w:r w:rsidRPr="00CC37AE">
        <w:rPr>
          <w:rFonts w:cs="Arial"/>
          <w:szCs w:val="22"/>
        </w:rPr>
        <w:t>]</w:t>
      </w:r>
    </w:p>
    <w:p w:rsidR="00065788" w:rsidRDefault="00065788" w:rsidP="00065788">
      <w:pPr>
        <w:spacing w:line="288" w:lineRule="auto"/>
        <w:jc w:val="both"/>
        <w:rPr>
          <w:rFonts w:cs="Arial"/>
          <w:szCs w:val="22"/>
        </w:rPr>
      </w:pPr>
    </w:p>
    <w:p w:rsidR="002128E4" w:rsidRPr="00CC37AE" w:rsidRDefault="002128E4" w:rsidP="00065788">
      <w:pPr>
        <w:spacing w:line="288" w:lineRule="auto"/>
        <w:jc w:val="both"/>
        <w:rPr>
          <w:rFonts w:cs="Arial"/>
          <w:szCs w:val="22"/>
        </w:rPr>
      </w:pPr>
    </w:p>
    <w:p w:rsidR="003B0251" w:rsidRPr="00CC37AE" w:rsidRDefault="003B0251" w:rsidP="00065788">
      <w:pPr>
        <w:spacing w:line="288" w:lineRule="auto"/>
        <w:jc w:val="both"/>
        <w:rPr>
          <w:rFonts w:cs="Arial"/>
          <w:szCs w:val="22"/>
        </w:rPr>
      </w:pPr>
    </w:p>
    <w:p w:rsidR="00065788" w:rsidRPr="00CC37AE" w:rsidRDefault="00065788" w:rsidP="00065788">
      <w:pPr>
        <w:spacing w:line="288" w:lineRule="auto"/>
        <w:jc w:val="both"/>
        <w:rPr>
          <w:rFonts w:cs="Arial"/>
          <w:szCs w:val="22"/>
        </w:rPr>
      </w:pPr>
    </w:p>
    <w:p w:rsidR="00065788" w:rsidRPr="00CC37AE" w:rsidRDefault="00065788" w:rsidP="00065788">
      <w:pPr>
        <w:spacing w:line="288" w:lineRule="auto"/>
        <w:jc w:val="both"/>
        <w:rPr>
          <w:rFonts w:cs="Arial"/>
          <w:szCs w:val="22"/>
        </w:rPr>
      </w:pPr>
    </w:p>
    <w:p w:rsidR="00065788" w:rsidRPr="00CC37AE" w:rsidRDefault="00562451" w:rsidP="00065788">
      <w:pPr>
        <w:spacing w:line="288" w:lineRule="auto"/>
        <w:jc w:val="both"/>
        <w:rPr>
          <w:rFonts w:cs="Arial"/>
          <w:szCs w:val="22"/>
        </w:rPr>
      </w:pPr>
      <w:r w:rsidRPr="00CC37AE">
        <w:rPr>
          <w:rFonts w:cs="Arial"/>
          <w:szCs w:val="22"/>
        </w:rPr>
        <w:t xml:space="preserve">Dear </w:t>
      </w:r>
      <w:r w:rsidR="00065788" w:rsidRPr="00CC37AE">
        <w:rPr>
          <w:rFonts w:cs="Arial"/>
          <w:szCs w:val="22"/>
        </w:rPr>
        <w:t xml:space="preserve">Ian </w:t>
      </w:r>
    </w:p>
    <w:p w:rsidR="00065788" w:rsidRPr="00CC37AE" w:rsidRDefault="00065788" w:rsidP="00065788">
      <w:pPr>
        <w:spacing w:line="288" w:lineRule="auto"/>
        <w:rPr>
          <w:rFonts w:cs="Arial"/>
          <w:b/>
          <w:szCs w:val="22"/>
        </w:rPr>
      </w:pPr>
    </w:p>
    <w:p w:rsidR="00065788" w:rsidRPr="00CC37AE" w:rsidRDefault="002533B1" w:rsidP="00B81E2F">
      <w:pPr>
        <w:spacing w:line="288" w:lineRule="auto"/>
        <w:rPr>
          <w:rFonts w:cs="Arial"/>
          <w:b/>
          <w:szCs w:val="22"/>
        </w:rPr>
      </w:pPr>
      <w:r w:rsidRPr="00CC37AE">
        <w:rPr>
          <w:rFonts w:cs="Arial"/>
          <w:b/>
          <w:szCs w:val="22"/>
        </w:rPr>
        <w:t xml:space="preserve">Powerco </w:t>
      </w:r>
      <w:r w:rsidR="002128E4">
        <w:rPr>
          <w:rFonts w:cs="Arial"/>
          <w:b/>
          <w:szCs w:val="22"/>
        </w:rPr>
        <w:t>s</w:t>
      </w:r>
      <w:r w:rsidRPr="00CC37AE">
        <w:rPr>
          <w:rFonts w:cs="Arial"/>
          <w:b/>
          <w:szCs w:val="22"/>
        </w:rPr>
        <w:t xml:space="preserve">ubmission on </w:t>
      </w:r>
      <w:r w:rsidR="003C26A5">
        <w:rPr>
          <w:rFonts w:cs="Arial"/>
          <w:b/>
          <w:szCs w:val="22"/>
        </w:rPr>
        <w:t>Draft Decision Paper – Framework for gas retailer insolvency arrangements</w:t>
      </w:r>
    </w:p>
    <w:p w:rsidR="000C1E28" w:rsidRPr="00CC37AE" w:rsidRDefault="000C1E28" w:rsidP="00065788">
      <w:pPr>
        <w:spacing w:line="288" w:lineRule="auto"/>
        <w:jc w:val="center"/>
        <w:rPr>
          <w:rFonts w:cs="Arial"/>
          <w:szCs w:val="22"/>
        </w:rPr>
      </w:pPr>
    </w:p>
    <w:p w:rsidR="00065788" w:rsidRPr="00CC37AE" w:rsidRDefault="00065788" w:rsidP="00065788">
      <w:pPr>
        <w:spacing w:line="288" w:lineRule="auto"/>
        <w:rPr>
          <w:rFonts w:cs="Arial"/>
          <w:i/>
          <w:szCs w:val="22"/>
        </w:rPr>
      </w:pPr>
      <w:r w:rsidRPr="00CC37AE">
        <w:rPr>
          <w:rFonts w:cs="Arial"/>
          <w:i/>
          <w:szCs w:val="22"/>
        </w:rPr>
        <w:t>Introduction</w:t>
      </w:r>
    </w:p>
    <w:p w:rsidR="00065788" w:rsidRPr="00CC37AE" w:rsidRDefault="00065788" w:rsidP="00065788">
      <w:pPr>
        <w:spacing w:line="288" w:lineRule="auto"/>
        <w:rPr>
          <w:rFonts w:cs="Arial"/>
          <w:i/>
          <w:szCs w:val="22"/>
        </w:rPr>
      </w:pPr>
    </w:p>
    <w:p w:rsidR="001726E2" w:rsidRPr="00CC37AE" w:rsidRDefault="00065788" w:rsidP="00635B3D">
      <w:pPr>
        <w:pStyle w:val="ListParagraph"/>
        <w:numPr>
          <w:ilvl w:val="0"/>
          <w:numId w:val="1"/>
        </w:numPr>
        <w:spacing w:after="0" w:line="288" w:lineRule="auto"/>
        <w:ind w:hanging="644"/>
        <w:contextualSpacing/>
        <w:jc w:val="both"/>
        <w:rPr>
          <w:rFonts w:ascii="Arial" w:hAnsi="Arial" w:cs="Arial"/>
        </w:rPr>
      </w:pPr>
      <w:r w:rsidRPr="00CC37AE">
        <w:rPr>
          <w:rFonts w:ascii="Arial" w:hAnsi="Arial" w:cs="Arial"/>
        </w:rPr>
        <w:t>Powerco welcomes</w:t>
      </w:r>
      <w:r w:rsidR="002B52D9" w:rsidRPr="00CC37AE">
        <w:rPr>
          <w:rFonts w:ascii="Arial" w:hAnsi="Arial" w:cs="Arial"/>
        </w:rPr>
        <w:t xml:space="preserve"> the opportunity to</w:t>
      </w:r>
      <w:r w:rsidRPr="00CC37AE">
        <w:rPr>
          <w:rFonts w:ascii="Arial" w:hAnsi="Arial" w:cs="Arial"/>
        </w:rPr>
        <w:t xml:space="preserve"> comment </w:t>
      </w:r>
      <w:r w:rsidR="002B52D9" w:rsidRPr="00CC37AE">
        <w:rPr>
          <w:rFonts w:ascii="Arial" w:hAnsi="Arial" w:cs="Arial"/>
        </w:rPr>
        <w:t>on</w:t>
      </w:r>
      <w:r w:rsidR="003C26A5">
        <w:rPr>
          <w:rFonts w:ascii="Arial" w:hAnsi="Arial" w:cs="Arial"/>
        </w:rPr>
        <w:t xml:space="preserve"> the</w:t>
      </w:r>
      <w:r w:rsidRPr="00CC37AE">
        <w:rPr>
          <w:rFonts w:ascii="Arial" w:hAnsi="Arial" w:cs="Arial"/>
        </w:rPr>
        <w:t xml:space="preserve"> </w:t>
      </w:r>
      <w:r w:rsidR="003C26A5" w:rsidRPr="003C26A5">
        <w:rPr>
          <w:rFonts w:ascii="Arial" w:hAnsi="Arial" w:cs="Arial"/>
          <w:i/>
        </w:rPr>
        <w:t>Draft Decision Paper – Framework for gas retailer insolvency arrangements</w:t>
      </w:r>
      <w:r w:rsidRPr="00CC37AE">
        <w:rPr>
          <w:rFonts w:ascii="Arial" w:hAnsi="Arial" w:cs="Arial"/>
          <w:i/>
        </w:rPr>
        <w:t xml:space="preserve"> </w:t>
      </w:r>
      <w:r w:rsidR="0031283B" w:rsidRPr="00CC37AE">
        <w:rPr>
          <w:rFonts w:ascii="Arial" w:hAnsi="Arial" w:cs="Arial"/>
        </w:rPr>
        <w:t xml:space="preserve">(the </w:t>
      </w:r>
      <w:r w:rsidR="002128E4">
        <w:rPr>
          <w:rFonts w:ascii="Arial" w:hAnsi="Arial" w:cs="Arial"/>
        </w:rPr>
        <w:t>p</w:t>
      </w:r>
      <w:r w:rsidR="003C26A5">
        <w:rPr>
          <w:rFonts w:ascii="Arial" w:hAnsi="Arial" w:cs="Arial"/>
        </w:rPr>
        <w:t>aper</w:t>
      </w:r>
      <w:r w:rsidR="002B52D9" w:rsidRPr="00CC37AE">
        <w:rPr>
          <w:rFonts w:ascii="Arial" w:hAnsi="Arial" w:cs="Arial"/>
        </w:rPr>
        <w:t>),</w:t>
      </w:r>
      <w:r w:rsidR="002B52D9" w:rsidRPr="00CC37AE">
        <w:rPr>
          <w:rFonts w:ascii="Arial" w:hAnsi="Arial" w:cs="Arial"/>
          <w:i/>
        </w:rPr>
        <w:t xml:space="preserve"> </w:t>
      </w:r>
      <w:r w:rsidRPr="00CC37AE">
        <w:rPr>
          <w:rFonts w:ascii="Arial" w:hAnsi="Arial" w:cs="Arial"/>
        </w:rPr>
        <w:t xml:space="preserve">published on </w:t>
      </w:r>
      <w:r w:rsidR="003C26A5">
        <w:rPr>
          <w:rFonts w:ascii="Arial" w:hAnsi="Arial" w:cs="Arial"/>
        </w:rPr>
        <w:t>15 October</w:t>
      </w:r>
      <w:r w:rsidR="00EC2C41" w:rsidRPr="00CC37AE">
        <w:rPr>
          <w:rFonts w:ascii="Arial" w:hAnsi="Arial" w:cs="Arial"/>
        </w:rPr>
        <w:t xml:space="preserve"> </w:t>
      </w:r>
      <w:r w:rsidR="003C26A5">
        <w:rPr>
          <w:rFonts w:ascii="Arial" w:hAnsi="Arial" w:cs="Arial"/>
        </w:rPr>
        <w:t>2014</w:t>
      </w:r>
      <w:r w:rsidR="002B52D9" w:rsidRPr="00CC37AE">
        <w:rPr>
          <w:rFonts w:ascii="Arial" w:hAnsi="Arial" w:cs="Arial"/>
        </w:rPr>
        <w:t xml:space="preserve">.  </w:t>
      </w:r>
      <w:r w:rsidR="00EC2C41" w:rsidRPr="00CC37AE">
        <w:rPr>
          <w:rFonts w:ascii="Arial" w:hAnsi="Arial" w:cs="Arial"/>
        </w:rPr>
        <w:t>Powerco recognise that incidents of gas retailer insolvency are very rare in New Zealand</w:t>
      </w:r>
      <w:r w:rsidR="008C150A">
        <w:rPr>
          <w:rFonts w:ascii="Arial" w:hAnsi="Arial" w:cs="Arial"/>
        </w:rPr>
        <w:t>,</w:t>
      </w:r>
      <w:r w:rsidR="00897AC4" w:rsidRPr="00CC37AE">
        <w:rPr>
          <w:rFonts w:ascii="Arial" w:hAnsi="Arial" w:cs="Arial"/>
        </w:rPr>
        <w:t xml:space="preserve"> but</w:t>
      </w:r>
      <w:r w:rsidR="002128E4">
        <w:rPr>
          <w:rFonts w:ascii="Arial" w:hAnsi="Arial" w:cs="Arial"/>
        </w:rPr>
        <w:t>,</w:t>
      </w:r>
      <w:r w:rsidR="00EC2C41" w:rsidRPr="00CC37AE">
        <w:rPr>
          <w:rFonts w:ascii="Arial" w:hAnsi="Arial" w:cs="Arial"/>
        </w:rPr>
        <w:t xml:space="preserve"> due to the </w:t>
      </w:r>
      <w:r w:rsidR="001726E2" w:rsidRPr="00CC37AE">
        <w:rPr>
          <w:rFonts w:ascii="Arial" w:hAnsi="Arial" w:cs="Arial"/>
        </w:rPr>
        <w:t xml:space="preserve">potential impact </w:t>
      </w:r>
      <w:r w:rsidR="002128E4">
        <w:rPr>
          <w:rFonts w:ascii="Arial" w:hAnsi="Arial" w:cs="Arial"/>
        </w:rPr>
        <w:t xml:space="preserve">of such an event </w:t>
      </w:r>
      <w:r w:rsidR="001726E2" w:rsidRPr="00CC37AE">
        <w:rPr>
          <w:rFonts w:ascii="Arial" w:hAnsi="Arial" w:cs="Arial"/>
        </w:rPr>
        <w:t>on the industry</w:t>
      </w:r>
      <w:r w:rsidR="002128E4">
        <w:rPr>
          <w:rFonts w:ascii="Arial" w:hAnsi="Arial" w:cs="Arial"/>
        </w:rPr>
        <w:t>,</w:t>
      </w:r>
      <w:r w:rsidR="001726E2" w:rsidRPr="00CC37AE">
        <w:rPr>
          <w:rFonts w:ascii="Arial" w:hAnsi="Arial" w:cs="Arial"/>
        </w:rPr>
        <w:t xml:space="preserve"> </w:t>
      </w:r>
      <w:r w:rsidR="003C26A5">
        <w:rPr>
          <w:rFonts w:ascii="Arial" w:hAnsi="Arial" w:cs="Arial"/>
        </w:rPr>
        <w:t>it is</w:t>
      </w:r>
      <w:r w:rsidR="008C150A">
        <w:rPr>
          <w:rFonts w:ascii="Arial" w:hAnsi="Arial" w:cs="Arial"/>
        </w:rPr>
        <w:t xml:space="preserve"> important that</w:t>
      </w:r>
      <w:r w:rsidR="00B81E2F">
        <w:rPr>
          <w:rFonts w:ascii="Arial" w:hAnsi="Arial" w:cs="Arial"/>
        </w:rPr>
        <w:t xml:space="preserve"> </w:t>
      </w:r>
      <w:r w:rsidR="003C26A5">
        <w:rPr>
          <w:rFonts w:ascii="Arial" w:hAnsi="Arial" w:cs="Arial"/>
        </w:rPr>
        <w:t>clear and robust regulatory rules are put in place.</w:t>
      </w:r>
    </w:p>
    <w:p w:rsidR="000B114D" w:rsidRPr="00CC37AE" w:rsidRDefault="000B114D" w:rsidP="001726E2">
      <w:pPr>
        <w:spacing w:line="288" w:lineRule="auto"/>
        <w:contextualSpacing/>
        <w:jc w:val="both"/>
        <w:rPr>
          <w:rFonts w:cs="Arial"/>
        </w:rPr>
      </w:pPr>
    </w:p>
    <w:p w:rsidR="00562451" w:rsidRPr="00CC37AE" w:rsidRDefault="00897AC4" w:rsidP="00562451">
      <w:pPr>
        <w:pStyle w:val="ListParagraph"/>
        <w:numPr>
          <w:ilvl w:val="0"/>
          <w:numId w:val="1"/>
        </w:numPr>
        <w:spacing w:after="0" w:line="288" w:lineRule="auto"/>
        <w:ind w:hanging="644"/>
        <w:contextualSpacing/>
        <w:jc w:val="both"/>
        <w:rPr>
          <w:rFonts w:ascii="Arial" w:hAnsi="Arial" w:cs="Arial"/>
        </w:rPr>
      </w:pPr>
      <w:r w:rsidRPr="00CC37AE">
        <w:rPr>
          <w:rFonts w:ascii="Arial" w:hAnsi="Arial" w:cs="Arial"/>
        </w:rPr>
        <w:t>O</w:t>
      </w:r>
      <w:r w:rsidR="002B52D9" w:rsidRPr="00CC37AE">
        <w:rPr>
          <w:rFonts w:ascii="Arial" w:hAnsi="Arial" w:cs="Arial"/>
        </w:rPr>
        <w:t xml:space="preserve">ur responses to the consultation questions in the </w:t>
      </w:r>
      <w:r w:rsidRPr="00CC37AE">
        <w:rPr>
          <w:rFonts w:ascii="Arial" w:hAnsi="Arial" w:cs="Arial"/>
        </w:rPr>
        <w:t>submission template</w:t>
      </w:r>
      <w:r w:rsidR="002B52D9" w:rsidRPr="00CC37AE">
        <w:rPr>
          <w:rFonts w:ascii="Arial" w:hAnsi="Arial" w:cs="Arial"/>
        </w:rPr>
        <w:t xml:space="preserve"> </w:t>
      </w:r>
      <w:r w:rsidR="008C150A">
        <w:rPr>
          <w:rFonts w:ascii="Arial" w:hAnsi="Arial" w:cs="Arial"/>
        </w:rPr>
        <w:t>are</w:t>
      </w:r>
      <w:r w:rsidR="00635B3D">
        <w:rPr>
          <w:rFonts w:ascii="Arial" w:hAnsi="Arial" w:cs="Arial"/>
        </w:rPr>
        <w:t xml:space="preserve"> in </w:t>
      </w:r>
      <w:r w:rsidR="002128E4">
        <w:rPr>
          <w:rFonts w:ascii="Arial" w:hAnsi="Arial" w:cs="Arial"/>
        </w:rPr>
        <w:t>the appendix to this letter</w:t>
      </w:r>
      <w:r w:rsidR="002B52D9" w:rsidRPr="00CC37AE">
        <w:rPr>
          <w:rFonts w:ascii="Arial" w:hAnsi="Arial" w:cs="Arial"/>
        </w:rPr>
        <w:t>.</w:t>
      </w:r>
      <w:r w:rsidR="00564798" w:rsidRPr="00CC37AE">
        <w:rPr>
          <w:rFonts w:ascii="Arial" w:hAnsi="Arial" w:cs="Arial"/>
        </w:rPr>
        <w:t xml:space="preserve">  None of the</w:t>
      </w:r>
      <w:r w:rsidR="00635B3D">
        <w:rPr>
          <w:rFonts w:ascii="Arial" w:hAnsi="Arial" w:cs="Arial"/>
        </w:rPr>
        <w:t xml:space="preserve"> content of this letter or </w:t>
      </w:r>
      <w:r w:rsidR="002128E4">
        <w:rPr>
          <w:rFonts w:ascii="Arial" w:hAnsi="Arial" w:cs="Arial"/>
        </w:rPr>
        <w:t>the appendix</w:t>
      </w:r>
      <w:r w:rsidR="00564798" w:rsidRPr="00CC37AE">
        <w:rPr>
          <w:rFonts w:ascii="Arial" w:hAnsi="Arial" w:cs="Arial"/>
        </w:rPr>
        <w:t xml:space="preserve"> </w:t>
      </w:r>
      <w:r w:rsidR="00635B3D" w:rsidRPr="00CC37AE">
        <w:rPr>
          <w:rFonts w:ascii="Arial" w:hAnsi="Arial" w:cs="Arial"/>
        </w:rPr>
        <w:t>is</w:t>
      </w:r>
      <w:r w:rsidR="00564798" w:rsidRPr="00CC37AE">
        <w:rPr>
          <w:rFonts w:ascii="Arial" w:hAnsi="Arial" w:cs="Arial"/>
        </w:rPr>
        <w:t xml:space="preserve"> confidential.</w:t>
      </w:r>
    </w:p>
    <w:p w:rsidR="00562451" w:rsidRPr="00CC37AE" w:rsidRDefault="00562451" w:rsidP="00562451">
      <w:pPr>
        <w:spacing w:line="288" w:lineRule="auto"/>
        <w:contextualSpacing/>
        <w:jc w:val="both"/>
        <w:rPr>
          <w:rFonts w:cs="Arial"/>
        </w:rPr>
      </w:pPr>
    </w:p>
    <w:p w:rsidR="002B52D9" w:rsidRPr="00CC37AE" w:rsidRDefault="001726E2" w:rsidP="002B52D9">
      <w:pPr>
        <w:jc w:val="both"/>
        <w:rPr>
          <w:rFonts w:eastAsia="Calibri" w:cs="Arial"/>
          <w:i/>
          <w:szCs w:val="22"/>
        </w:rPr>
      </w:pPr>
      <w:r w:rsidRPr="00CC37AE">
        <w:rPr>
          <w:rFonts w:eastAsia="Calibri" w:cs="Arial"/>
          <w:i/>
          <w:szCs w:val="22"/>
        </w:rPr>
        <w:t xml:space="preserve">Certainty </w:t>
      </w:r>
      <w:r w:rsidR="00A90CC0" w:rsidRPr="00CC37AE">
        <w:rPr>
          <w:rFonts w:eastAsia="Calibri" w:cs="Arial"/>
          <w:i/>
          <w:szCs w:val="22"/>
        </w:rPr>
        <w:t xml:space="preserve">is </w:t>
      </w:r>
      <w:r w:rsidR="002A0642" w:rsidRPr="00CC37AE">
        <w:rPr>
          <w:rFonts w:eastAsia="Calibri" w:cs="Arial"/>
          <w:i/>
          <w:szCs w:val="22"/>
        </w:rPr>
        <w:t>essential for</w:t>
      </w:r>
      <w:r w:rsidR="00A90CC0" w:rsidRPr="00CC37AE">
        <w:rPr>
          <w:rFonts w:eastAsia="Calibri" w:cs="Arial"/>
          <w:i/>
          <w:szCs w:val="22"/>
        </w:rPr>
        <w:t xml:space="preserve"> the development of the gas industry</w:t>
      </w:r>
    </w:p>
    <w:p w:rsidR="002B52D9" w:rsidRPr="00CC37AE" w:rsidRDefault="002B52D9" w:rsidP="002B52D9">
      <w:pPr>
        <w:jc w:val="both"/>
        <w:rPr>
          <w:rFonts w:eastAsia="Calibri" w:cs="Arial"/>
          <w:szCs w:val="22"/>
        </w:rPr>
      </w:pPr>
    </w:p>
    <w:p w:rsidR="001726E2" w:rsidRPr="00CC37AE" w:rsidRDefault="001726E2" w:rsidP="001726E2">
      <w:pPr>
        <w:pStyle w:val="ListParagraph"/>
        <w:numPr>
          <w:ilvl w:val="0"/>
          <w:numId w:val="1"/>
        </w:numPr>
        <w:ind w:hanging="644"/>
        <w:rPr>
          <w:rFonts w:ascii="Arial" w:hAnsi="Arial" w:cs="Arial"/>
          <w:lang w:eastAsia="en-NZ"/>
        </w:rPr>
      </w:pPr>
      <w:r w:rsidRPr="00CC37AE">
        <w:rPr>
          <w:rFonts w:ascii="Arial" w:hAnsi="Arial" w:cs="Arial"/>
          <w:lang w:eastAsia="en-NZ"/>
        </w:rPr>
        <w:t xml:space="preserve">The gas industry is battling </w:t>
      </w:r>
      <w:r w:rsidR="002128E4">
        <w:rPr>
          <w:rFonts w:ascii="Arial" w:hAnsi="Arial" w:cs="Arial"/>
          <w:lang w:eastAsia="en-NZ"/>
        </w:rPr>
        <w:t>to persuade</w:t>
      </w:r>
      <w:r w:rsidRPr="00CC37AE">
        <w:rPr>
          <w:rFonts w:ascii="Arial" w:hAnsi="Arial" w:cs="Arial"/>
          <w:lang w:eastAsia="en-NZ"/>
        </w:rPr>
        <w:t xml:space="preserve"> </w:t>
      </w:r>
      <w:r w:rsidR="00D65F88">
        <w:rPr>
          <w:rFonts w:ascii="Arial" w:hAnsi="Arial" w:cs="Arial"/>
          <w:lang w:eastAsia="en-NZ"/>
        </w:rPr>
        <w:t>people to connect</w:t>
      </w:r>
      <w:r w:rsidR="008C150A">
        <w:rPr>
          <w:rFonts w:ascii="Arial" w:hAnsi="Arial" w:cs="Arial"/>
          <w:lang w:eastAsia="en-NZ"/>
        </w:rPr>
        <w:t>,</w:t>
      </w:r>
      <w:r w:rsidRPr="00CC37AE">
        <w:rPr>
          <w:rFonts w:ascii="Arial" w:hAnsi="Arial" w:cs="Arial"/>
          <w:lang w:eastAsia="en-NZ"/>
        </w:rPr>
        <w:t xml:space="preserve"> or stay </w:t>
      </w:r>
      <w:r w:rsidR="002128E4">
        <w:rPr>
          <w:rFonts w:ascii="Arial" w:hAnsi="Arial" w:cs="Arial"/>
          <w:lang w:eastAsia="en-NZ"/>
        </w:rPr>
        <w:t>connected to</w:t>
      </w:r>
      <w:r w:rsidR="008C150A">
        <w:rPr>
          <w:rFonts w:ascii="Arial" w:hAnsi="Arial" w:cs="Arial"/>
          <w:lang w:eastAsia="en-NZ"/>
        </w:rPr>
        <w:t>,</w:t>
      </w:r>
      <w:r w:rsidRPr="00CC37AE">
        <w:rPr>
          <w:rFonts w:ascii="Arial" w:hAnsi="Arial" w:cs="Arial"/>
          <w:lang w:eastAsia="en-NZ"/>
        </w:rPr>
        <w:t xml:space="preserve"> reticulated gas. </w:t>
      </w:r>
      <w:r w:rsidR="006965E2">
        <w:rPr>
          <w:rFonts w:ascii="Arial" w:hAnsi="Arial" w:cs="Arial"/>
          <w:lang w:eastAsia="en-NZ"/>
        </w:rPr>
        <w:t xml:space="preserve"> </w:t>
      </w:r>
      <w:r w:rsidRPr="00CC37AE">
        <w:rPr>
          <w:rFonts w:ascii="Arial" w:hAnsi="Arial" w:cs="Arial"/>
          <w:lang w:eastAsia="en-NZ"/>
        </w:rPr>
        <w:t>We must give consumers confidence that</w:t>
      </w:r>
      <w:r w:rsidR="002128E4">
        <w:rPr>
          <w:rFonts w:ascii="Arial" w:hAnsi="Arial" w:cs="Arial"/>
          <w:lang w:eastAsia="en-NZ"/>
        </w:rPr>
        <w:t>,</w:t>
      </w:r>
      <w:r w:rsidRPr="00CC37AE">
        <w:rPr>
          <w:rFonts w:ascii="Arial" w:hAnsi="Arial" w:cs="Arial"/>
          <w:lang w:eastAsia="en-NZ"/>
        </w:rPr>
        <w:t xml:space="preserve"> when they buy a gas appliance and make an investment for </w:t>
      </w:r>
      <w:r w:rsidR="002128E4">
        <w:rPr>
          <w:rFonts w:ascii="Arial" w:hAnsi="Arial" w:cs="Arial"/>
          <w:lang w:eastAsia="en-NZ"/>
        </w:rPr>
        <w:t>ten</w:t>
      </w:r>
      <w:r w:rsidRPr="00CC37AE">
        <w:rPr>
          <w:rFonts w:ascii="Arial" w:hAnsi="Arial" w:cs="Arial"/>
          <w:lang w:eastAsia="en-NZ"/>
        </w:rPr>
        <w:t xml:space="preserve"> or more years, they will continue to receive a high quality of service. The gas industry cannot afford reputational damage and </w:t>
      </w:r>
      <w:r w:rsidR="002128E4">
        <w:rPr>
          <w:rFonts w:ascii="Arial" w:hAnsi="Arial" w:cs="Arial"/>
          <w:lang w:eastAsia="en-NZ"/>
        </w:rPr>
        <w:t xml:space="preserve">the risk that </w:t>
      </w:r>
      <w:r w:rsidRPr="00CC37AE">
        <w:rPr>
          <w:rFonts w:ascii="Arial" w:hAnsi="Arial" w:cs="Arial"/>
          <w:lang w:eastAsia="en-NZ"/>
        </w:rPr>
        <w:t xml:space="preserve">confidence in the gas industry </w:t>
      </w:r>
      <w:r w:rsidR="002128E4">
        <w:rPr>
          <w:rFonts w:ascii="Arial" w:hAnsi="Arial" w:cs="Arial"/>
          <w:lang w:eastAsia="en-NZ"/>
        </w:rPr>
        <w:t>will be</w:t>
      </w:r>
      <w:r w:rsidRPr="00CC37AE">
        <w:rPr>
          <w:rFonts w:ascii="Arial" w:hAnsi="Arial" w:cs="Arial"/>
          <w:lang w:eastAsia="en-NZ"/>
        </w:rPr>
        <w:t xml:space="preserve"> undermined. </w:t>
      </w:r>
      <w:r w:rsidR="006965E2">
        <w:rPr>
          <w:rFonts w:ascii="Arial" w:hAnsi="Arial" w:cs="Arial"/>
          <w:lang w:eastAsia="en-NZ"/>
        </w:rPr>
        <w:t xml:space="preserve"> </w:t>
      </w:r>
      <w:r w:rsidRPr="00CC37AE">
        <w:rPr>
          <w:rFonts w:ascii="Arial" w:hAnsi="Arial" w:cs="Arial"/>
          <w:lang w:eastAsia="en-NZ"/>
        </w:rPr>
        <w:t>All risks must be carefully managed – and we see retailer insolvency as a real</w:t>
      </w:r>
      <w:r w:rsidR="002128E4">
        <w:rPr>
          <w:rFonts w:ascii="Arial" w:hAnsi="Arial" w:cs="Arial"/>
          <w:lang w:eastAsia="en-NZ"/>
        </w:rPr>
        <w:t xml:space="preserve"> and significant</w:t>
      </w:r>
      <w:r w:rsidRPr="00CC37AE">
        <w:rPr>
          <w:rFonts w:ascii="Arial" w:hAnsi="Arial" w:cs="Arial"/>
          <w:lang w:eastAsia="en-NZ"/>
        </w:rPr>
        <w:t xml:space="preserve"> risk. </w:t>
      </w:r>
    </w:p>
    <w:p w:rsidR="001726E2" w:rsidRPr="00167D24" w:rsidRDefault="001726E2" w:rsidP="00CF2D98">
      <w:pPr>
        <w:pStyle w:val="ListParagraph"/>
        <w:numPr>
          <w:ilvl w:val="0"/>
          <w:numId w:val="1"/>
        </w:numPr>
        <w:spacing w:line="288" w:lineRule="auto"/>
        <w:ind w:hanging="644"/>
        <w:jc w:val="both"/>
        <w:rPr>
          <w:rFonts w:ascii="Arial" w:hAnsi="Arial" w:cs="Arial"/>
          <w:i/>
          <w:lang w:eastAsia="en-NZ"/>
        </w:rPr>
      </w:pPr>
      <w:r w:rsidRPr="00CC37AE">
        <w:rPr>
          <w:rFonts w:ascii="Arial" w:hAnsi="Arial" w:cs="Arial"/>
          <w:lang w:eastAsia="en-NZ"/>
        </w:rPr>
        <w:t>The E-Gas situation highlighted the importance of having a regulatory back-stop</w:t>
      </w:r>
      <w:r w:rsidR="00E6156C" w:rsidRPr="00CC37AE">
        <w:rPr>
          <w:rFonts w:ascii="Arial" w:hAnsi="Arial" w:cs="Arial"/>
          <w:lang w:eastAsia="en-NZ"/>
        </w:rPr>
        <w:t xml:space="preserve">, whether </w:t>
      </w:r>
      <w:r w:rsidR="00D02121" w:rsidRPr="00CC37AE">
        <w:rPr>
          <w:rFonts w:ascii="Arial" w:hAnsi="Arial" w:cs="Arial"/>
          <w:lang w:eastAsia="en-NZ"/>
        </w:rPr>
        <w:t>introduced</w:t>
      </w:r>
      <w:r w:rsidR="00E6156C" w:rsidRPr="00CC37AE">
        <w:rPr>
          <w:rFonts w:ascii="Arial" w:hAnsi="Arial" w:cs="Arial"/>
          <w:lang w:eastAsia="en-NZ"/>
        </w:rPr>
        <w:t xml:space="preserve"> under </w:t>
      </w:r>
      <w:r w:rsidR="00D65F88">
        <w:rPr>
          <w:rFonts w:ascii="Arial" w:hAnsi="Arial" w:cs="Arial"/>
          <w:lang w:eastAsia="en-NZ"/>
        </w:rPr>
        <w:t>urgency</w:t>
      </w:r>
      <w:r w:rsidR="00D02121" w:rsidRPr="00CC37AE">
        <w:rPr>
          <w:rFonts w:ascii="Arial" w:hAnsi="Arial" w:cs="Arial"/>
          <w:lang w:eastAsia="en-NZ"/>
        </w:rPr>
        <w:t xml:space="preserve"> or as </w:t>
      </w:r>
      <w:r w:rsidR="002128E4">
        <w:rPr>
          <w:rFonts w:ascii="Arial" w:hAnsi="Arial" w:cs="Arial"/>
          <w:lang w:eastAsia="en-NZ"/>
        </w:rPr>
        <w:t xml:space="preserve">a </w:t>
      </w:r>
      <w:r w:rsidR="00D02121" w:rsidRPr="00CC37AE">
        <w:rPr>
          <w:rFonts w:ascii="Arial" w:hAnsi="Arial" w:cs="Arial"/>
          <w:lang w:eastAsia="en-NZ"/>
        </w:rPr>
        <w:t>permanent regulation</w:t>
      </w:r>
      <w:r w:rsidRPr="00CC37AE">
        <w:rPr>
          <w:rFonts w:ascii="Arial" w:hAnsi="Arial" w:cs="Arial"/>
          <w:lang w:eastAsia="en-NZ"/>
        </w:rPr>
        <w:t xml:space="preserve">. </w:t>
      </w:r>
      <w:r w:rsidR="006965E2">
        <w:rPr>
          <w:rFonts w:ascii="Arial" w:hAnsi="Arial" w:cs="Arial"/>
          <w:lang w:eastAsia="en-NZ"/>
        </w:rPr>
        <w:t xml:space="preserve"> </w:t>
      </w:r>
      <w:r w:rsidRPr="00CC37AE">
        <w:rPr>
          <w:rFonts w:ascii="Arial" w:hAnsi="Arial" w:cs="Arial"/>
          <w:lang w:eastAsia="en-NZ"/>
        </w:rPr>
        <w:t>While the</w:t>
      </w:r>
      <w:r w:rsidR="009417A3" w:rsidRPr="009417A3">
        <w:t xml:space="preserve"> </w:t>
      </w:r>
      <w:r w:rsidR="009417A3" w:rsidRPr="009417A3">
        <w:rPr>
          <w:rFonts w:ascii="Arial" w:hAnsi="Arial" w:cs="Arial"/>
          <w:lang w:eastAsia="en-NZ"/>
        </w:rPr>
        <w:t>regulations enacted under urgency</w:t>
      </w:r>
      <w:r w:rsidR="009417A3">
        <w:rPr>
          <w:rFonts w:ascii="Arial" w:hAnsi="Arial" w:cs="Arial"/>
          <w:lang w:eastAsia="en-NZ"/>
        </w:rPr>
        <w:t xml:space="preserve"> for </w:t>
      </w:r>
      <w:r w:rsidR="00D02121" w:rsidRPr="00CC37AE">
        <w:rPr>
          <w:rFonts w:ascii="Arial" w:hAnsi="Arial" w:cs="Arial"/>
          <w:lang w:eastAsia="en-NZ"/>
        </w:rPr>
        <w:t>the E-gas situation</w:t>
      </w:r>
      <w:r w:rsidRPr="00CC37AE">
        <w:rPr>
          <w:rFonts w:ascii="Arial" w:hAnsi="Arial" w:cs="Arial"/>
          <w:lang w:eastAsia="en-NZ"/>
        </w:rPr>
        <w:t xml:space="preserve"> were not required to be implemented</w:t>
      </w:r>
      <w:r w:rsidR="002A0642" w:rsidRPr="00CC37AE">
        <w:rPr>
          <w:rFonts w:ascii="Arial" w:hAnsi="Arial" w:cs="Arial"/>
          <w:lang w:eastAsia="en-NZ"/>
        </w:rPr>
        <w:t>,</w:t>
      </w:r>
      <w:r w:rsidRPr="00CC37AE">
        <w:rPr>
          <w:rFonts w:ascii="Arial" w:hAnsi="Arial" w:cs="Arial"/>
          <w:lang w:eastAsia="en-NZ"/>
        </w:rPr>
        <w:t xml:space="preserve"> they helped </w:t>
      </w:r>
      <w:r w:rsidR="00A90CC0" w:rsidRPr="00CC37AE">
        <w:rPr>
          <w:rFonts w:ascii="Arial" w:hAnsi="Arial" w:cs="Arial"/>
          <w:lang w:eastAsia="en-NZ"/>
        </w:rPr>
        <w:t xml:space="preserve">provide </w:t>
      </w:r>
      <w:r w:rsidRPr="00CC37AE">
        <w:rPr>
          <w:rFonts w:ascii="Arial" w:hAnsi="Arial" w:cs="Arial"/>
          <w:lang w:eastAsia="en-NZ"/>
        </w:rPr>
        <w:t xml:space="preserve">assurance </w:t>
      </w:r>
      <w:r w:rsidR="00A90CC0" w:rsidRPr="00CC37AE">
        <w:rPr>
          <w:rFonts w:ascii="Arial" w:hAnsi="Arial" w:cs="Arial"/>
          <w:lang w:eastAsia="en-NZ"/>
        </w:rPr>
        <w:t xml:space="preserve">to </w:t>
      </w:r>
      <w:r w:rsidR="002128E4">
        <w:rPr>
          <w:rFonts w:ascii="Arial" w:hAnsi="Arial" w:cs="Arial"/>
          <w:lang w:eastAsia="en-NZ"/>
        </w:rPr>
        <w:t>affected</w:t>
      </w:r>
      <w:r w:rsidR="00A90CC0" w:rsidRPr="00CC37AE">
        <w:rPr>
          <w:rFonts w:ascii="Arial" w:hAnsi="Arial" w:cs="Arial"/>
          <w:lang w:eastAsia="en-NZ"/>
        </w:rPr>
        <w:t xml:space="preserve"> parties </w:t>
      </w:r>
      <w:r w:rsidRPr="00CC37AE">
        <w:rPr>
          <w:rFonts w:ascii="Arial" w:hAnsi="Arial" w:cs="Arial"/>
          <w:lang w:eastAsia="en-NZ"/>
        </w:rPr>
        <w:t xml:space="preserve">while the </w:t>
      </w:r>
      <w:r w:rsidR="00A90CC0" w:rsidRPr="00CC37AE">
        <w:rPr>
          <w:rFonts w:ascii="Arial" w:hAnsi="Arial" w:cs="Arial"/>
          <w:lang w:eastAsia="en-NZ"/>
        </w:rPr>
        <w:t xml:space="preserve">insolvency </w:t>
      </w:r>
      <w:r w:rsidRPr="00CC37AE">
        <w:rPr>
          <w:rFonts w:ascii="Arial" w:hAnsi="Arial" w:cs="Arial"/>
          <w:lang w:eastAsia="en-NZ"/>
        </w:rPr>
        <w:t>process was resolved</w:t>
      </w:r>
      <w:r w:rsidR="00A90CC0" w:rsidRPr="00CC37AE">
        <w:rPr>
          <w:rFonts w:ascii="Arial" w:hAnsi="Arial" w:cs="Arial"/>
          <w:lang w:eastAsia="en-NZ"/>
        </w:rPr>
        <w:t xml:space="preserve">.  Providing certainty to industry participants and the public is essential </w:t>
      </w:r>
      <w:r w:rsidR="002128E4">
        <w:rPr>
          <w:rFonts w:ascii="Arial" w:hAnsi="Arial" w:cs="Arial"/>
          <w:lang w:eastAsia="en-NZ"/>
        </w:rPr>
        <w:t>to</w:t>
      </w:r>
      <w:r w:rsidR="00A90CC0" w:rsidRPr="00CC37AE">
        <w:rPr>
          <w:rFonts w:ascii="Arial" w:hAnsi="Arial" w:cs="Arial"/>
          <w:lang w:eastAsia="en-NZ"/>
        </w:rPr>
        <w:t xml:space="preserve"> building the confidence levels </w:t>
      </w:r>
      <w:r w:rsidR="002128E4">
        <w:rPr>
          <w:rFonts w:ascii="Arial" w:hAnsi="Arial" w:cs="Arial"/>
          <w:lang w:eastAsia="en-NZ"/>
        </w:rPr>
        <w:t>needed to develop the market</w:t>
      </w:r>
      <w:r w:rsidR="00E6156C" w:rsidRPr="00CC37AE">
        <w:rPr>
          <w:rFonts w:ascii="Arial" w:hAnsi="Arial" w:cs="Arial"/>
          <w:lang w:eastAsia="en-NZ"/>
        </w:rPr>
        <w:t xml:space="preserve">.  </w:t>
      </w:r>
      <w:r w:rsidR="002128E4">
        <w:rPr>
          <w:rFonts w:ascii="Arial" w:hAnsi="Arial" w:cs="Arial"/>
          <w:lang w:eastAsia="en-NZ"/>
        </w:rPr>
        <w:t>We recognise</w:t>
      </w:r>
      <w:r w:rsidR="00E6156C" w:rsidRPr="00CC37AE">
        <w:rPr>
          <w:rFonts w:ascii="Arial" w:hAnsi="Arial" w:cs="Arial"/>
          <w:lang w:eastAsia="en-NZ"/>
        </w:rPr>
        <w:t xml:space="preserve"> that</w:t>
      </w:r>
      <w:r w:rsidR="002128E4">
        <w:rPr>
          <w:rFonts w:ascii="Arial" w:hAnsi="Arial" w:cs="Arial"/>
          <w:lang w:eastAsia="en-NZ"/>
        </w:rPr>
        <w:t>,</w:t>
      </w:r>
      <w:r w:rsidR="00E6156C" w:rsidRPr="00CC37AE">
        <w:rPr>
          <w:rFonts w:ascii="Arial" w:hAnsi="Arial" w:cs="Arial"/>
          <w:lang w:eastAsia="en-NZ"/>
        </w:rPr>
        <w:t xml:space="preserve"> </w:t>
      </w:r>
      <w:r w:rsidR="00635B3D">
        <w:rPr>
          <w:rFonts w:ascii="Arial" w:hAnsi="Arial" w:cs="Arial"/>
          <w:lang w:eastAsia="en-NZ"/>
        </w:rPr>
        <w:t xml:space="preserve">while </w:t>
      </w:r>
      <w:r w:rsidR="00E6156C" w:rsidRPr="00CC37AE">
        <w:rPr>
          <w:rFonts w:ascii="Arial" w:hAnsi="Arial" w:cs="Arial"/>
          <w:lang w:eastAsia="en-NZ"/>
        </w:rPr>
        <w:t xml:space="preserve">standard insolvency arrangements </w:t>
      </w:r>
      <w:r w:rsidR="002128E4">
        <w:rPr>
          <w:rFonts w:ascii="Arial" w:hAnsi="Arial" w:cs="Arial"/>
          <w:lang w:eastAsia="en-NZ"/>
        </w:rPr>
        <w:lastRenderedPageBreak/>
        <w:t>address</w:t>
      </w:r>
      <w:r w:rsidR="00635B3D">
        <w:rPr>
          <w:rFonts w:ascii="Arial" w:hAnsi="Arial" w:cs="Arial"/>
          <w:lang w:eastAsia="en-NZ"/>
        </w:rPr>
        <w:t xml:space="preserve"> significant </w:t>
      </w:r>
      <w:r w:rsidR="00E6156C" w:rsidRPr="00CC37AE">
        <w:rPr>
          <w:rFonts w:ascii="Arial" w:hAnsi="Arial" w:cs="Arial"/>
          <w:lang w:eastAsia="en-NZ"/>
        </w:rPr>
        <w:t>risk</w:t>
      </w:r>
      <w:r w:rsidR="002A0642" w:rsidRPr="00CC37AE">
        <w:rPr>
          <w:rFonts w:ascii="Arial" w:hAnsi="Arial" w:cs="Arial"/>
          <w:lang w:eastAsia="en-NZ"/>
        </w:rPr>
        <w:t>s</w:t>
      </w:r>
      <w:r w:rsidR="002128E4">
        <w:rPr>
          <w:rFonts w:ascii="Arial" w:hAnsi="Arial" w:cs="Arial"/>
          <w:lang w:eastAsia="en-NZ"/>
        </w:rPr>
        <w:t>,</w:t>
      </w:r>
      <w:r w:rsidR="00E6156C" w:rsidRPr="00CC37AE">
        <w:rPr>
          <w:rFonts w:ascii="Arial" w:hAnsi="Arial" w:cs="Arial"/>
          <w:lang w:eastAsia="en-NZ"/>
        </w:rPr>
        <w:t xml:space="preserve"> </w:t>
      </w:r>
      <w:r w:rsidR="00E727CD">
        <w:rPr>
          <w:rFonts w:ascii="Arial" w:hAnsi="Arial" w:cs="Arial"/>
          <w:lang w:eastAsia="en-NZ"/>
        </w:rPr>
        <w:t>there</w:t>
      </w:r>
      <w:r w:rsidR="00635B3D">
        <w:rPr>
          <w:rFonts w:ascii="Arial" w:hAnsi="Arial" w:cs="Arial"/>
          <w:lang w:eastAsia="en-NZ"/>
        </w:rPr>
        <w:t xml:space="preserve"> are </w:t>
      </w:r>
      <w:r w:rsidR="002128E4">
        <w:rPr>
          <w:rFonts w:ascii="Arial" w:hAnsi="Arial" w:cs="Arial"/>
          <w:lang w:eastAsia="en-NZ"/>
        </w:rPr>
        <w:t>outstanding</w:t>
      </w:r>
      <w:r w:rsidR="00E727CD">
        <w:rPr>
          <w:rFonts w:ascii="Arial" w:hAnsi="Arial" w:cs="Arial"/>
          <w:lang w:eastAsia="en-NZ"/>
        </w:rPr>
        <w:t xml:space="preserve"> </w:t>
      </w:r>
      <w:r w:rsidR="00635B3D">
        <w:rPr>
          <w:rFonts w:ascii="Arial" w:hAnsi="Arial" w:cs="Arial"/>
          <w:lang w:eastAsia="en-NZ"/>
        </w:rPr>
        <w:t>issues</w:t>
      </w:r>
      <w:r w:rsidR="002128E4">
        <w:rPr>
          <w:rFonts w:ascii="Arial" w:hAnsi="Arial" w:cs="Arial"/>
          <w:lang w:eastAsia="en-NZ"/>
        </w:rPr>
        <w:t>,</w:t>
      </w:r>
      <w:r w:rsidR="00635B3D">
        <w:rPr>
          <w:rFonts w:ascii="Arial" w:hAnsi="Arial" w:cs="Arial"/>
          <w:lang w:eastAsia="en-NZ"/>
        </w:rPr>
        <w:t xml:space="preserve"> such as </w:t>
      </w:r>
      <w:r w:rsidR="00E727CD">
        <w:rPr>
          <w:rFonts w:ascii="Arial" w:hAnsi="Arial" w:cs="Arial"/>
          <w:lang w:eastAsia="en-NZ"/>
        </w:rPr>
        <w:t>orphan consumers</w:t>
      </w:r>
      <w:r w:rsidR="002128E4">
        <w:rPr>
          <w:rFonts w:ascii="Arial" w:hAnsi="Arial" w:cs="Arial"/>
          <w:lang w:eastAsia="en-NZ"/>
        </w:rPr>
        <w:t>,</w:t>
      </w:r>
      <w:r w:rsidR="00635B3D">
        <w:rPr>
          <w:rFonts w:ascii="Arial" w:hAnsi="Arial" w:cs="Arial"/>
          <w:lang w:eastAsia="en-NZ"/>
        </w:rPr>
        <w:t xml:space="preserve"> </w:t>
      </w:r>
      <w:r w:rsidR="00E727CD">
        <w:rPr>
          <w:rFonts w:ascii="Arial" w:hAnsi="Arial" w:cs="Arial"/>
          <w:lang w:eastAsia="en-NZ"/>
        </w:rPr>
        <w:t xml:space="preserve">that need </w:t>
      </w:r>
      <w:r w:rsidR="002128E4">
        <w:rPr>
          <w:rFonts w:ascii="Arial" w:hAnsi="Arial" w:cs="Arial"/>
          <w:lang w:eastAsia="en-NZ"/>
        </w:rPr>
        <w:t>to be considered</w:t>
      </w:r>
      <w:r w:rsidR="00E6156C" w:rsidRPr="00167D24">
        <w:rPr>
          <w:rFonts w:ascii="Arial" w:hAnsi="Arial" w:cs="Arial"/>
          <w:lang w:eastAsia="en-NZ"/>
        </w:rPr>
        <w:t>.</w:t>
      </w:r>
    </w:p>
    <w:p w:rsidR="00A90CC0" w:rsidRPr="00167D24" w:rsidRDefault="00E727CD" w:rsidP="00A90CC0">
      <w:pPr>
        <w:spacing w:line="288" w:lineRule="auto"/>
        <w:jc w:val="both"/>
        <w:rPr>
          <w:rFonts w:cs="Arial"/>
          <w:i/>
          <w:lang w:eastAsia="en-NZ"/>
        </w:rPr>
      </w:pPr>
      <w:r>
        <w:rPr>
          <w:rFonts w:cs="Arial"/>
          <w:i/>
          <w:lang w:eastAsia="en-NZ"/>
        </w:rPr>
        <w:t>Support for non-regulatory option</w:t>
      </w:r>
    </w:p>
    <w:p w:rsidR="00A90CC0" w:rsidRPr="0008259B" w:rsidRDefault="00A90CC0" w:rsidP="0008259B">
      <w:pPr>
        <w:spacing w:line="288" w:lineRule="auto"/>
        <w:jc w:val="both"/>
        <w:rPr>
          <w:rFonts w:eastAsia="Calibri" w:cs="Arial"/>
          <w:szCs w:val="22"/>
          <w:lang w:eastAsia="en-NZ"/>
        </w:rPr>
      </w:pPr>
    </w:p>
    <w:p w:rsidR="0008259B" w:rsidRDefault="0008259B" w:rsidP="0008259B">
      <w:pPr>
        <w:pStyle w:val="ListParagraph"/>
        <w:numPr>
          <w:ilvl w:val="0"/>
          <w:numId w:val="1"/>
        </w:numPr>
        <w:ind w:hanging="644"/>
        <w:jc w:val="both"/>
        <w:rPr>
          <w:rFonts w:ascii="Arial" w:hAnsi="Arial" w:cs="Arial"/>
          <w:lang w:eastAsia="en-NZ"/>
        </w:rPr>
      </w:pPr>
      <w:r w:rsidRPr="0008259B">
        <w:rPr>
          <w:rFonts w:ascii="Arial" w:hAnsi="Arial" w:cs="Arial"/>
          <w:lang w:eastAsia="en-NZ"/>
        </w:rPr>
        <w:t>There are only two options available to distributors in the event of retailer insolvency</w:t>
      </w:r>
      <w:r w:rsidR="006965E2">
        <w:rPr>
          <w:rFonts w:ascii="Arial" w:hAnsi="Arial" w:cs="Arial"/>
          <w:lang w:eastAsia="en-NZ"/>
        </w:rPr>
        <w:t>,</w:t>
      </w:r>
      <w:r w:rsidRPr="0008259B">
        <w:rPr>
          <w:rFonts w:ascii="Arial" w:hAnsi="Arial" w:cs="Arial"/>
          <w:lang w:eastAsia="en-NZ"/>
        </w:rPr>
        <w:t xml:space="preserve"> and these both result in financial loss and create significant </w:t>
      </w:r>
      <w:r w:rsidR="006965E2">
        <w:rPr>
          <w:rFonts w:ascii="Arial" w:hAnsi="Arial" w:cs="Arial"/>
          <w:lang w:eastAsia="en-NZ"/>
        </w:rPr>
        <w:t xml:space="preserve">additional </w:t>
      </w:r>
      <w:r w:rsidRPr="0008259B">
        <w:rPr>
          <w:rFonts w:ascii="Arial" w:hAnsi="Arial" w:cs="Arial"/>
          <w:lang w:eastAsia="en-NZ"/>
        </w:rPr>
        <w:t xml:space="preserve">work for distributors.  Gas distributors will always consider disconnecting customers </w:t>
      </w:r>
      <w:r w:rsidR="00F63146">
        <w:rPr>
          <w:rFonts w:ascii="Arial" w:hAnsi="Arial" w:cs="Arial"/>
          <w:lang w:eastAsia="en-NZ"/>
        </w:rPr>
        <w:t>to be a last resort, due to the utility nature of the gas service and our desire to maintain</w:t>
      </w:r>
      <w:r w:rsidRPr="0008259B">
        <w:rPr>
          <w:rFonts w:ascii="Arial" w:hAnsi="Arial" w:cs="Arial"/>
          <w:lang w:eastAsia="en-NZ"/>
        </w:rPr>
        <w:t xml:space="preserve"> the reputation of gas as a secure and reliable energy source</w:t>
      </w:r>
      <w:r w:rsidR="00F63146">
        <w:rPr>
          <w:rFonts w:ascii="Arial" w:hAnsi="Arial" w:cs="Arial"/>
          <w:lang w:eastAsia="en-NZ"/>
        </w:rPr>
        <w:t>.  Of course, there are also</w:t>
      </w:r>
      <w:r w:rsidRPr="0008259B">
        <w:rPr>
          <w:rFonts w:ascii="Arial" w:hAnsi="Arial" w:cs="Arial"/>
          <w:lang w:eastAsia="en-NZ"/>
        </w:rPr>
        <w:t xml:space="preserve"> the associated disconnection</w:t>
      </w:r>
      <w:r w:rsidR="00F63146">
        <w:rPr>
          <w:rFonts w:ascii="Arial" w:hAnsi="Arial" w:cs="Arial"/>
          <w:lang w:eastAsia="en-NZ"/>
        </w:rPr>
        <w:t xml:space="preserve"> and </w:t>
      </w:r>
      <w:r w:rsidRPr="0008259B">
        <w:rPr>
          <w:rFonts w:ascii="Arial" w:hAnsi="Arial" w:cs="Arial"/>
          <w:lang w:eastAsia="en-NZ"/>
        </w:rPr>
        <w:t>reconnection costs</w:t>
      </w:r>
      <w:r w:rsidR="00F63146">
        <w:rPr>
          <w:rFonts w:ascii="Arial" w:hAnsi="Arial" w:cs="Arial"/>
          <w:lang w:eastAsia="en-NZ"/>
        </w:rPr>
        <w:t xml:space="preserve"> to consider</w:t>
      </w:r>
      <w:r w:rsidRPr="0008259B">
        <w:rPr>
          <w:rFonts w:ascii="Arial" w:hAnsi="Arial" w:cs="Arial"/>
          <w:lang w:eastAsia="en-NZ"/>
        </w:rPr>
        <w:t xml:space="preserve">.  </w:t>
      </w:r>
      <w:r w:rsidR="00F63146">
        <w:rPr>
          <w:rFonts w:ascii="Arial" w:hAnsi="Arial" w:cs="Arial"/>
          <w:lang w:eastAsia="en-NZ"/>
        </w:rPr>
        <w:t>Hence,</w:t>
      </w:r>
      <w:r w:rsidRPr="0008259B">
        <w:rPr>
          <w:rFonts w:ascii="Arial" w:hAnsi="Arial" w:cs="Arial"/>
          <w:lang w:eastAsia="en-NZ"/>
        </w:rPr>
        <w:t xml:space="preserve"> continuing to supply gas </w:t>
      </w:r>
      <w:r w:rsidR="00F63146">
        <w:rPr>
          <w:rFonts w:ascii="Arial" w:hAnsi="Arial" w:cs="Arial"/>
          <w:lang w:eastAsia="en-NZ"/>
        </w:rPr>
        <w:t>is the only credible</w:t>
      </w:r>
      <w:r w:rsidRPr="0008259B">
        <w:rPr>
          <w:rFonts w:ascii="Arial" w:hAnsi="Arial" w:cs="Arial"/>
          <w:lang w:eastAsia="en-NZ"/>
        </w:rPr>
        <w:t xml:space="preserve"> option available to distributors</w:t>
      </w:r>
      <w:r w:rsidR="00F63146">
        <w:rPr>
          <w:rFonts w:ascii="Arial" w:hAnsi="Arial" w:cs="Arial"/>
          <w:lang w:eastAsia="en-NZ"/>
        </w:rPr>
        <w:t xml:space="preserve"> in most cases</w:t>
      </w:r>
      <w:r w:rsidRPr="0008259B">
        <w:rPr>
          <w:rFonts w:ascii="Arial" w:hAnsi="Arial" w:cs="Arial"/>
          <w:lang w:eastAsia="en-NZ"/>
        </w:rPr>
        <w:t>.  While this is positive for the industry</w:t>
      </w:r>
      <w:r w:rsidR="00F63146">
        <w:rPr>
          <w:rFonts w:ascii="Arial" w:hAnsi="Arial" w:cs="Arial"/>
          <w:lang w:eastAsia="en-NZ"/>
        </w:rPr>
        <w:t>,</w:t>
      </w:r>
      <w:r w:rsidRPr="0008259B">
        <w:rPr>
          <w:rFonts w:ascii="Arial" w:hAnsi="Arial" w:cs="Arial"/>
          <w:lang w:eastAsia="en-NZ"/>
        </w:rPr>
        <w:t xml:space="preserve"> as it </w:t>
      </w:r>
      <w:r w:rsidR="00F63146">
        <w:rPr>
          <w:rFonts w:ascii="Arial" w:hAnsi="Arial" w:cs="Arial"/>
          <w:lang w:eastAsia="en-NZ"/>
        </w:rPr>
        <w:t>simplifies the insolvency situation</w:t>
      </w:r>
      <w:r w:rsidRPr="0008259B">
        <w:rPr>
          <w:rFonts w:ascii="Arial" w:hAnsi="Arial" w:cs="Arial"/>
          <w:lang w:eastAsia="en-NZ"/>
        </w:rPr>
        <w:t>, it creates costs, uncertainty and risks for the distributor.</w:t>
      </w:r>
    </w:p>
    <w:p w:rsidR="0008259B" w:rsidRPr="0008259B" w:rsidRDefault="0008259B" w:rsidP="0008259B">
      <w:pPr>
        <w:pStyle w:val="ListParagraph"/>
        <w:numPr>
          <w:ilvl w:val="0"/>
          <w:numId w:val="1"/>
        </w:numPr>
        <w:spacing w:line="288" w:lineRule="auto"/>
        <w:ind w:hanging="644"/>
        <w:jc w:val="both"/>
        <w:rPr>
          <w:rFonts w:cs="Arial"/>
          <w:lang w:eastAsia="en-NZ"/>
        </w:rPr>
      </w:pPr>
      <w:r w:rsidRPr="0008259B">
        <w:rPr>
          <w:rFonts w:ascii="Arial" w:hAnsi="Arial" w:cs="Arial"/>
          <w:lang w:eastAsia="en-NZ"/>
        </w:rPr>
        <w:t xml:space="preserve">The challenge </w:t>
      </w:r>
      <w:r w:rsidR="001E5BFB">
        <w:rPr>
          <w:rFonts w:ascii="Arial" w:hAnsi="Arial" w:cs="Arial"/>
          <w:lang w:eastAsia="en-NZ"/>
        </w:rPr>
        <w:t>associated with</w:t>
      </w:r>
      <w:r w:rsidRPr="0008259B">
        <w:rPr>
          <w:rFonts w:ascii="Arial" w:hAnsi="Arial" w:cs="Arial"/>
          <w:lang w:eastAsia="en-NZ"/>
        </w:rPr>
        <w:t xml:space="preserve"> developing a solution to retailer insolvency that meets industry and customer </w:t>
      </w:r>
      <w:r w:rsidR="001E5BFB">
        <w:rPr>
          <w:rFonts w:ascii="Arial" w:hAnsi="Arial" w:cs="Arial"/>
          <w:lang w:eastAsia="en-NZ"/>
        </w:rPr>
        <w:t>expectations</w:t>
      </w:r>
      <w:r w:rsidRPr="0008259B">
        <w:rPr>
          <w:rFonts w:ascii="Arial" w:hAnsi="Arial" w:cs="Arial"/>
          <w:lang w:eastAsia="en-NZ"/>
        </w:rPr>
        <w:t xml:space="preserve"> is ensuring that </w:t>
      </w:r>
      <w:r w:rsidR="001E5BFB">
        <w:rPr>
          <w:rFonts w:ascii="Arial" w:hAnsi="Arial" w:cs="Arial"/>
          <w:lang w:eastAsia="en-NZ"/>
        </w:rPr>
        <w:t>the process</w:t>
      </w:r>
      <w:r w:rsidRPr="0008259B">
        <w:rPr>
          <w:rFonts w:ascii="Arial" w:hAnsi="Arial" w:cs="Arial"/>
          <w:lang w:eastAsia="en-NZ"/>
        </w:rPr>
        <w:t xml:space="preserve"> is robust enough to provide </w:t>
      </w:r>
      <w:r w:rsidR="001E5BFB">
        <w:rPr>
          <w:rFonts w:ascii="Arial" w:hAnsi="Arial" w:cs="Arial"/>
          <w:lang w:eastAsia="en-NZ"/>
        </w:rPr>
        <w:t xml:space="preserve">a high degree of </w:t>
      </w:r>
      <w:r w:rsidRPr="0008259B">
        <w:rPr>
          <w:rFonts w:ascii="Arial" w:hAnsi="Arial" w:cs="Arial"/>
          <w:lang w:eastAsia="en-NZ"/>
        </w:rPr>
        <w:t xml:space="preserve">certainty </w:t>
      </w:r>
      <w:r w:rsidR="001E5BFB">
        <w:rPr>
          <w:rFonts w:ascii="Arial" w:hAnsi="Arial" w:cs="Arial"/>
          <w:lang w:eastAsia="en-NZ"/>
        </w:rPr>
        <w:t>but</w:t>
      </w:r>
      <w:r w:rsidRPr="0008259B">
        <w:rPr>
          <w:rFonts w:ascii="Arial" w:hAnsi="Arial" w:cs="Arial"/>
          <w:lang w:eastAsia="en-NZ"/>
        </w:rPr>
        <w:t xml:space="preserve"> not </w:t>
      </w:r>
      <w:r w:rsidR="008811E0">
        <w:rPr>
          <w:rFonts w:ascii="Arial" w:hAnsi="Arial" w:cs="Arial"/>
          <w:lang w:eastAsia="en-NZ"/>
        </w:rPr>
        <w:t>so complex that it creates unnecessary regulatory compliance costs</w:t>
      </w:r>
      <w:r w:rsidRPr="0008259B">
        <w:rPr>
          <w:rFonts w:ascii="Arial" w:hAnsi="Arial" w:cs="Arial"/>
          <w:lang w:eastAsia="en-NZ"/>
        </w:rPr>
        <w:t>.  We consider that t</w:t>
      </w:r>
      <w:r>
        <w:rPr>
          <w:rFonts w:ascii="Arial" w:hAnsi="Arial" w:cs="Arial"/>
          <w:lang w:eastAsia="en-NZ"/>
        </w:rPr>
        <w:t>hat the drafting instruction approach achieves this</w:t>
      </w:r>
      <w:r w:rsidR="008811E0">
        <w:rPr>
          <w:rFonts w:ascii="Arial" w:hAnsi="Arial" w:cs="Arial"/>
          <w:lang w:eastAsia="en-NZ"/>
        </w:rPr>
        <w:t xml:space="preserve"> goal</w:t>
      </w:r>
      <w:r>
        <w:rPr>
          <w:rFonts w:ascii="Arial" w:hAnsi="Arial" w:cs="Arial"/>
          <w:lang w:eastAsia="en-NZ"/>
        </w:rPr>
        <w:t>.</w:t>
      </w:r>
    </w:p>
    <w:p w:rsidR="0008259B" w:rsidRPr="0008259B" w:rsidRDefault="0008259B" w:rsidP="0008259B">
      <w:pPr>
        <w:pStyle w:val="ListParagraph"/>
        <w:numPr>
          <w:ilvl w:val="0"/>
          <w:numId w:val="1"/>
        </w:numPr>
        <w:spacing w:line="288" w:lineRule="auto"/>
        <w:ind w:hanging="644"/>
        <w:jc w:val="both"/>
        <w:rPr>
          <w:rFonts w:cs="Arial"/>
          <w:lang w:eastAsia="en-NZ"/>
        </w:rPr>
      </w:pPr>
      <w:r>
        <w:rPr>
          <w:rFonts w:ascii="Arial" w:hAnsi="Arial" w:cs="Arial"/>
          <w:lang w:eastAsia="en-NZ"/>
        </w:rPr>
        <w:t xml:space="preserve">We support the use of industry led working groups to develop options and approaches for the GIC to use as the basis for consultations.  The Insolvent Retailers Working Group (IRWG) is </w:t>
      </w:r>
      <w:r w:rsidR="008811E0">
        <w:rPr>
          <w:rFonts w:ascii="Arial" w:hAnsi="Arial" w:cs="Arial"/>
          <w:lang w:eastAsia="en-NZ"/>
        </w:rPr>
        <w:t>good</w:t>
      </w:r>
      <w:r>
        <w:rPr>
          <w:rFonts w:ascii="Arial" w:hAnsi="Arial" w:cs="Arial"/>
          <w:lang w:eastAsia="en-NZ"/>
        </w:rPr>
        <w:t xml:space="preserve"> example of the GIC convening and </w:t>
      </w:r>
      <w:r w:rsidR="008811E0">
        <w:rPr>
          <w:rFonts w:ascii="Arial" w:hAnsi="Arial" w:cs="Arial"/>
          <w:lang w:eastAsia="en-NZ"/>
        </w:rPr>
        <w:t>applying</w:t>
      </w:r>
      <w:r>
        <w:rPr>
          <w:rFonts w:ascii="Arial" w:hAnsi="Arial" w:cs="Arial"/>
          <w:lang w:eastAsia="en-NZ"/>
        </w:rPr>
        <w:t xml:space="preserve"> the finding</w:t>
      </w:r>
      <w:r w:rsidR="008811E0">
        <w:rPr>
          <w:rFonts w:ascii="Arial" w:hAnsi="Arial" w:cs="Arial"/>
          <w:lang w:eastAsia="en-NZ"/>
        </w:rPr>
        <w:t>s</w:t>
      </w:r>
      <w:r>
        <w:rPr>
          <w:rFonts w:ascii="Arial" w:hAnsi="Arial" w:cs="Arial"/>
          <w:lang w:eastAsia="en-NZ"/>
        </w:rPr>
        <w:t xml:space="preserve"> o</w:t>
      </w:r>
      <w:r w:rsidR="008811E0">
        <w:rPr>
          <w:rFonts w:ascii="Arial" w:hAnsi="Arial" w:cs="Arial"/>
          <w:lang w:eastAsia="en-NZ"/>
        </w:rPr>
        <w:t>f</w:t>
      </w:r>
      <w:r>
        <w:rPr>
          <w:rFonts w:ascii="Arial" w:hAnsi="Arial" w:cs="Arial"/>
          <w:lang w:eastAsia="en-NZ"/>
        </w:rPr>
        <w:t xml:space="preserve"> a </w:t>
      </w:r>
      <w:r w:rsidR="008811E0">
        <w:rPr>
          <w:rFonts w:ascii="Arial" w:hAnsi="Arial" w:cs="Arial"/>
          <w:lang w:eastAsia="en-NZ"/>
        </w:rPr>
        <w:t xml:space="preserve">working </w:t>
      </w:r>
      <w:r>
        <w:rPr>
          <w:rFonts w:ascii="Arial" w:hAnsi="Arial" w:cs="Arial"/>
          <w:lang w:eastAsia="en-NZ"/>
        </w:rPr>
        <w:t xml:space="preserve">group </w:t>
      </w:r>
      <w:r w:rsidR="008811E0">
        <w:rPr>
          <w:rFonts w:ascii="Arial" w:hAnsi="Arial" w:cs="Arial"/>
          <w:lang w:eastAsia="en-NZ"/>
        </w:rPr>
        <w:t>appropriately</w:t>
      </w:r>
      <w:r>
        <w:rPr>
          <w:rFonts w:ascii="Arial" w:hAnsi="Arial" w:cs="Arial"/>
          <w:lang w:eastAsia="en-NZ"/>
        </w:rPr>
        <w:t>.</w:t>
      </w:r>
    </w:p>
    <w:p w:rsidR="00B82A4D" w:rsidRPr="00CC37AE" w:rsidRDefault="00B82A4D" w:rsidP="00B82A4D">
      <w:pPr>
        <w:spacing w:line="288" w:lineRule="auto"/>
        <w:jc w:val="both"/>
        <w:rPr>
          <w:rFonts w:cs="Arial"/>
          <w:i/>
          <w:lang w:eastAsia="en-NZ"/>
        </w:rPr>
      </w:pPr>
      <w:r w:rsidRPr="00CC37AE">
        <w:rPr>
          <w:rFonts w:cs="Arial"/>
          <w:i/>
          <w:lang w:eastAsia="en-NZ"/>
        </w:rPr>
        <w:t>Conclusion</w:t>
      </w:r>
    </w:p>
    <w:p w:rsidR="00B82A4D" w:rsidRPr="00CC37AE" w:rsidRDefault="00B82A4D" w:rsidP="00B82A4D">
      <w:pPr>
        <w:spacing w:line="288" w:lineRule="auto"/>
        <w:jc w:val="both"/>
        <w:rPr>
          <w:rFonts w:cs="Arial"/>
          <w:i/>
          <w:lang w:eastAsia="en-NZ"/>
        </w:rPr>
      </w:pPr>
    </w:p>
    <w:p w:rsidR="00C67C2D" w:rsidRPr="00CC37AE" w:rsidRDefault="00065788" w:rsidP="00B82A4D">
      <w:pPr>
        <w:pStyle w:val="ListParagraph"/>
        <w:numPr>
          <w:ilvl w:val="0"/>
          <w:numId w:val="1"/>
        </w:numPr>
        <w:spacing w:after="0" w:line="288" w:lineRule="auto"/>
        <w:ind w:hanging="644"/>
        <w:jc w:val="both"/>
        <w:rPr>
          <w:rFonts w:ascii="Arial" w:hAnsi="Arial" w:cs="Arial"/>
          <w:lang w:eastAsia="en-NZ"/>
        </w:rPr>
      </w:pPr>
      <w:r w:rsidRPr="00CC37AE">
        <w:rPr>
          <w:rFonts w:ascii="Arial" w:hAnsi="Arial" w:cs="Arial"/>
          <w:lang w:eastAsia="en-NZ"/>
        </w:rPr>
        <w:t xml:space="preserve">Powerco </w:t>
      </w:r>
      <w:r w:rsidR="0008259B">
        <w:rPr>
          <w:rFonts w:ascii="Arial" w:hAnsi="Arial" w:cs="Arial"/>
          <w:lang w:eastAsia="en-NZ"/>
        </w:rPr>
        <w:t xml:space="preserve">considers </w:t>
      </w:r>
      <w:r w:rsidRPr="00CC37AE">
        <w:rPr>
          <w:rFonts w:ascii="Arial" w:hAnsi="Arial" w:cs="Arial"/>
          <w:lang w:eastAsia="en-NZ"/>
        </w:rPr>
        <w:t xml:space="preserve">that the GIC </w:t>
      </w:r>
      <w:r w:rsidR="0008259B">
        <w:rPr>
          <w:rFonts w:ascii="Arial" w:hAnsi="Arial" w:cs="Arial"/>
          <w:lang w:eastAsia="en-NZ"/>
        </w:rPr>
        <w:t>ha</w:t>
      </w:r>
      <w:r w:rsidR="005C26B6">
        <w:rPr>
          <w:rFonts w:ascii="Arial" w:hAnsi="Arial" w:cs="Arial"/>
          <w:lang w:eastAsia="en-NZ"/>
        </w:rPr>
        <w:t>s</w:t>
      </w:r>
      <w:r w:rsidR="0008259B">
        <w:rPr>
          <w:rFonts w:ascii="Arial" w:hAnsi="Arial" w:cs="Arial"/>
          <w:lang w:eastAsia="en-NZ"/>
        </w:rPr>
        <w:t xml:space="preserve"> achieved its objectives </w:t>
      </w:r>
      <w:r w:rsidR="005C26B6">
        <w:rPr>
          <w:rFonts w:ascii="Arial" w:hAnsi="Arial" w:cs="Arial"/>
          <w:lang w:eastAsia="en-NZ"/>
        </w:rPr>
        <w:t>with</w:t>
      </w:r>
      <w:r w:rsidR="0008259B">
        <w:rPr>
          <w:rFonts w:ascii="Arial" w:hAnsi="Arial" w:cs="Arial"/>
          <w:lang w:eastAsia="en-NZ"/>
        </w:rPr>
        <w:t xml:space="preserve"> respect </w:t>
      </w:r>
      <w:r w:rsidR="005C26B6">
        <w:rPr>
          <w:rFonts w:ascii="Arial" w:hAnsi="Arial" w:cs="Arial"/>
          <w:lang w:eastAsia="en-NZ"/>
        </w:rPr>
        <w:t>to</w:t>
      </w:r>
      <w:r w:rsidR="0008259B">
        <w:rPr>
          <w:rFonts w:ascii="Arial" w:hAnsi="Arial" w:cs="Arial"/>
          <w:lang w:eastAsia="en-NZ"/>
        </w:rPr>
        <w:t xml:space="preserve"> </w:t>
      </w:r>
      <w:r w:rsidR="00953DCD" w:rsidRPr="00CC37AE">
        <w:rPr>
          <w:rFonts w:ascii="Arial" w:hAnsi="Arial" w:cs="Arial"/>
          <w:lang w:eastAsia="en-NZ"/>
        </w:rPr>
        <w:t xml:space="preserve">the retailer insolvency </w:t>
      </w:r>
      <w:r w:rsidR="0008259B">
        <w:rPr>
          <w:rFonts w:ascii="Arial" w:hAnsi="Arial" w:cs="Arial"/>
          <w:lang w:eastAsia="en-NZ"/>
        </w:rPr>
        <w:t xml:space="preserve">issue </w:t>
      </w:r>
      <w:r w:rsidR="00953DCD" w:rsidRPr="00CC37AE">
        <w:rPr>
          <w:rFonts w:ascii="Arial" w:hAnsi="Arial" w:cs="Arial"/>
          <w:lang w:eastAsia="en-NZ"/>
        </w:rPr>
        <w:t xml:space="preserve">and </w:t>
      </w:r>
      <w:r w:rsidR="0008259B">
        <w:rPr>
          <w:rFonts w:ascii="Arial" w:hAnsi="Arial" w:cs="Arial"/>
          <w:lang w:eastAsia="en-NZ"/>
        </w:rPr>
        <w:t xml:space="preserve">we are confident </w:t>
      </w:r>
      <w:r w:rsidR="005C26B6">
        <w:rPr>
          <w:rFonts w:ascii="Arial" w:hAnsi="Arial" w:cs="Arial"/>
          <w:lang w:eastAsia="en-NZ"/>
        </w:rPr>
        <w:t>that, should</w:t>
      </w:r>
      <w:r w:rsidR="0008259B">
        <w:rPr>
          <w:rFonts w:ascii="Arial" w:hAnsi="Arial" w:cs="Arial"/>
          <w:lang w:eastAsia="en-NZ"/>
        </w:rPr>
        <w:t xml:space="preserve"> </w:t>
      </w:r>
      <w:proofErr w:type="gramStart"/>
      <w:r w:rsidR="0008259B">
        <w:rPr>
          <w:rFonts w:ascii="Arial" w:hAnsi="Arial" w:cs="Arial"/>
          <w:lang w:eastAsia="en-NZ"/>
        </w:rPr>
        <w:t>a retailer</w:t>
      </w:r>
      <w:proofErr w:type="gramEnd"/>
      <w:r w:rsidR="0008259B">
        <w:rPr>
          <w:rFonts w:ascii="Arial" w:hAnsi="Arial" w:cs="Arial"/>
          <w:lang w:eastAsia="en-NZ"/>
        </w:rPr>
        <w:t xml:space="preserve"> insolvency </w:t>
      </w:r>
      <w:r w:rsidR="005C26B6">
        <w:rPr>
          <w:rFonts w:ascii="Arial" w:hAnsi="Arial" w:cs="Arial"/>
          <w:lang w:eastAsia="en-NZ"/>
        </w:rPr>
        <w:t>occur,</w:t>
      </w:r>
      <w:r w:rsidR="0008259B">
        <w:rPr>
          <w:rFonts w:ascii="Arial" w:hAnsi="Arial" w:cs="Arial"/>
          <w:lang w:eastAsia="en-NZ"/>
        </w:rPr>
        <w:t xml:space="preserve"> the industry </w:t>
      </w:r>
      <w:r w:rsidR="00953DCD" w:rsidRPr="00CC37AE">
        <w:rPr>
          <w:rFonts w:ascii="Arial" w:hAnsi="Arial" w:cs="Arial"/>
          <w:lang w:eastAsia="en-NZ"/>
        </w:rPr>
        <w:t>will</w:t>
      </w:r>
      <w:r w:rsidR="0008259B">
        <w:rPr>
          <w:rFonts w:ascii="Arial" w:hAnsi="Arial" w:cs="Arial"/>
          <w:lang w:eastAsia="en-NZ"/>
        </w:rPr>
        <w:t xml:space="preserve"> be well placed to deal with it promptly and efficiently.</w:t>
      </w:r>
    </w:p>
    <w:p w:rsidR="00065788" w:rsidRPr="00CC37AE" w:rsidRDefault="00065788" w:rsidP="00065788">
      <w:pPr>
        <w:pStyle w:val="ListParagraph"/>
        <w:spacing w:after="0" w:line="288" w:lineRule="auto"/>
        <w:jc w:val="both"/>
        <w:rPr>
          <w:rFonts w:ascii="Arial" w:hAnsi="Arial" w:cs="Arial"/>
          <w:lang w:eastAsia="en-NZ"/>
        </w:rPr>
      </w:pPr>
    </w:p>
    <w:p w:rsidR="00065788" w:rsidRPr="00CC37AE" w:rsidRDefault="00065788" w:rsidP="000C1E28">
      <w:pPr>
        <w:pStyle w:val="ListParagraph"/>
        <w:numPr>
          <w:ilvl w:val="0"/>
          <w:numId w:val="1"/>
        </w:numPr>
        <w:spacing w:after="0" w:line="288" w:lineRule="auto"/>
        <w:ind w:hanging="644"/>
        <w:jc w:val="both"/>
        <w:rPr>
          <w:rFonts w:ascii="Arial" w:hAnsi="Arial" w:cs="Arial"/>
          <w:lang w:eastAsia="en-NZ"/>
        </w:rPr>
      </w:pPr>
      <w:r w:rsidRPr="00CC37AE">
        <w:rPr>
          <w:rFonts w:ascii="Arial" w:hAnsi="Arial" w:cs="Arial"/>
          <w:lang w:eastAsia="en-NZ"/>
        </w:rPr>
        <w:t xml:space="preserve">Thank you for the opportunity to make this submission.  If the GIC wishes to discuss any aspects of this submission further, please do not hesitate </w:t>
      </w:r>
      <w:r w:rsidR="005C26B6">
        <w:rPr>
          <w:rFonts w:ascii="Arial" w:hAnsi="Arial" w:cs="Arial"/>
          <w:lang w:eastAsia="en-NZ"/>
        </w:rPr>
        <w:t>to contact</w:t>
      </w:r>
      <w:r w:rsidRPr="00CC37AE">
        <w:rPr>
          <w:rFonts w:ascii="Arial" w:hAnsi="Arial" w:cs="Arial"/>
          <w:lang w:eastAsia="en-NZ"/>
        </w:rPr>
        <w:t xml:space="preserve"> me on </w:t>
      </w:r>
      <w:r w:rsidR="005C26B6">
        <w:rPr>
          <w:rFonts w:ascii="Arial" w:hAnsi="Arial" w:cs="Arial"/>
          <w:lang w:eastAsia="en-NZ"/>
        </w:rPr>
        <w:t>(</w:t>
      </w:r>
      <w:r w:rsidRPr="00CC37AE">
        <w:rPr>
          <w:rFonts w:ascii="Arial" w:hAnsi="Arial" w:cs="Arial"/>
          <w:lang w:eastAsia="en-NZ"/>
        </w:rPr>
        <w:t>06</w:t>
      </w:r>
      <w:r w:rsidR="005C26B6">
        <w:rPr>
          <w:rFonts w:ascii="Arial" w:hAnsi="Arial" w:cs="Arial"/>
          <w:lang w:eastAsia="en-NZ"/>
        </w:rPr>
        <w:t>) </w:t>
      </w:r>
      <w:r w:rsidRPr="00CC37AE">
        <w:rPr>
          <w:rFonts w:ascii="Arial" w:hAnsi="Arial" w:cs="Arial"/>
          <w:lang w:eastAsia="en-NZ"/>
        </w:rPr>
        <w:t xml:space="preserve">757 3397 or </w:t>
      </w:r>
      <w:hyperlink r:id="rId9" w:history="1">
        <w:r w:rsidR="005C26B6" w:rsidRPr="00FA4119">
          <w:rPr>
            <w:rStyle w:val="Hyperlink"/>
            <w:rFonts w:ascii="Arial" w:hAnsi="Arial" w:cs="Arial"/>
            <w:lang w:eastAsia="en-NZ"/>
          </w:rPr>
          <w:t>oliver.vincent@powerco.co.nz</w:t>
        </w:r>
      </w:hyperlink>
      <w:r w:rsidR="005C26B6">
        <w:rPr>
          <w:rFonts w:ascii="Arial" w:hAnsi="Arial" w:cs="Arial"/>
          <w:lang w:eastAsia="en-NZ"/>
        </w:rPr>
        <w:t xml:space="preserve"> </w:t>
      </w:r>
      <w:r w:rsidRPr="00CC37AE">
        <w:rPr>
          <w:rFonts w:ascii="Arial" w:hAnsi="Arial" w:cs="Arial"/>
          <w:lang w:eastAsia="en-NZ"/>
        </w:rPr>
        <w:t>.</w:t>
      </w:r>
    </w:p>
    <w:p w:rsidR="000C1E28" w:rsidRPr="00CC37AE" w:rsidRDefault="000C1E28" w:rsidP="00065788">
      <w:pPr>
        <w:pStyle w:val="ListParagraph"/>
        <w:spacing w:after="0" w:line="288" w:lineRule="auto"/>
        <w:jc w:val="both"/>
        <w:rPr>
          <w:rFonts w:ascii="Arial" w:hAnsi="Arial" w:cs="Arial"/>
          <w:lang w:eastAsia="en-NZ"/>
        </w:rPr>
      </w:pPr>
    </w:p>
    <w:p w:rsidR="00065788" w:rsidRPr="00CC37AE" w:rsidRDefault="00065788" w:rsidP="00065788">
      <w:pPr>
        <w:pStyle w:val="ListParagraph"/>
        <w:spacing w:after="0" w:line="288" w:lineRule="auto"/>
        <w:jc w:val="both"/>
        <w:rPr>
          <w:rFonts w:ascii="Arial" w:hAnsi="Arial" w:cs="Arial"/>
          <w:lang w:eastAsia="en-NZ"/>
        </w:rPr>
      </w:pPr>
      <w:r w:rsidRPr="00CC37AE">
        <w:rPr>
          <w:rFonts w:ascii="Arial" w:hAnsi="Arial" w:cs="Arial"/>
          <w:lang w:eastAsia="en-NZ"/>
        </w:rPr>
        <w:t>Yours sincerely</w:t>
      </w:r>
    </w:p>
    <w:p w:rsidR="00D35276" w:rsidRDefault="00A96167">
      <w:r w:rsidRPr="00CC37AE">
        <w:tab/>
      </w:r>
      <w:bookmarkStart w:id="1" w:name="_GoBack"/>
      <w:bookmarkEnd w:id="1"/>
    </w:p>
    <w:p w:rsidR="00D35276" w:rsidRDefault="00D35276"/>
    <w:p w:rsidR="00D35276" w:rsidRDefault="00D35276" w:rsidP="00D35276">
      <w:pPr>
        <w:ind w:firstLine="720"/>
      </w:pPr>
      <w:r>
        <w:t>Oliver Vincent</w:t>
      </w:r>
    </w:p>
    <w:p w:rsidR="00B47BCE" w:rsidRPr="00CC37AE" w:rsidRDefault="00D35276" w:rsidP="00D35276">
      <w:pPr>
        <w:ind w:firstLine="720"/>
      </w:pPr>
      <w:r>
        <w:t>Regulatory Analyst</w:t>
      </w:r>
      <w:r w:rsidR="00A96167" w:rsidRPr="00CC37AE">
        <w:tab/>
      </w:r>
    </w:p>
    <w:p w:rsidR="00606FA9" w:rsidRPr="00CC37AE" w:rsidRDefault="00606FA9">
      <w:r w:rsidRPr="00CC37AE">
        <w:br w:type="page"/>
      </w:r>
    </w:p>
    <w:p w:rsidR="00606FA9" w:rsidRPr="00CC37AE" w:rsidRDefault="00606FA9">
      <w:pPr>
        <w:spacing w:before="120"/>
        <w:sectPr w:rsidR="00606FA9" w:rsidRPr="00CC37AE" w:rsidSect="000C1E28">
          <w:headerReference w:type="first" r:id="rId10"/>
          <w:type w:val="continuous"/>
          <w:pgSz w:w="11906" w:h="16838" w:code="9"/>
          <w:pgMar w:top="1560" w:right="1134" w:bottom="1702" w:left="1134" w:header="567" w:footer="397" w:gutter="0"/>
          <w:cols w:space="720"/>
          <w:formProt w:val="0"/>
          <w:titlePg/>
        </w:sectPr>
      </w:pPr>
    </w:p>
    <w:p w:rsidR="00E01216" w:rsidRDefault="00E01216" w:rsidP="00E01216">
      <w:pPr>
        <w:pStyle w:val="Heading1"/>
        <w:pageBreakBefore/>
      </w:pPr>
      <w:bookmarkStart w:id="2" w:name="_Toc398900123"/>
      <w:bookmarkStart w:id="3" w:name="_Toc401064961"/>
      <w:r>
        <w:lastRenderedPageBreak/>
        <w:t>Appendix: Submissions Template</w:t>
      </w:r>
      <w:bookmarkEnd w:id="2"/>
      <w:bookmarkEnd w:id="3"/>
    </w:p>
    <w:p w:rsidR="00E01216" w:rsidRDefault="00E01216" w:rsidP="00E01216">
      <w:pPr>
        <w:pStyle w:val="BodyText"/>
      </w:pPr>
      <w:proofErr w:type="gramStart"/>
      <w:r>
        <w:t>Gas retailer insolvency arrangements</w:t>
      </w:r>
      <w:r w:rsidR="0026667B">
        <w:t>.</w:t>
      </w:r>
      <w:proofErr w:type="gramEnd"/>
    </w:p>
    <w:p w:rsidR="00E01216" w:rsidRDefault="00E01216" w:rsidP="00E01216">
      <w:pPr>
        <w:pStyle w:val="BodyText"/>
      </w:pPr>
      <w:r w:rsidRPr="00BE40EA">
        <w:t>Submission prepared by:</w:t>
      </w:r>
      <w:r w:rsidRPr="00BE40EA">
        <w:tab/>
      </w:r>
      <w:r>
        <w:t>Powerco Limited</w:t>
      </w:r>
    </w:p>
    <w:tbl>
      <w:tblPr>
        <w:tblW w:w="12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827"/>
        <w:gridCol w:w="8251"/>
      </w:tblGrid>
      <w:tr w:rsidR="00E01216" w:rsidTr="006965E2">
        <w:trPr>
          <w:cantSplit/>
          <w:trHeight w:val="223"/>
          <w:tblHeader/>
        </w:trPr>
        <w:tc>
          <w:tcPr>
            <w:tcW w:w="4536" w:type="dxa"/>
            <w:gridSpan w:val="2"/>
            <w:tcBorders>
              <w:bottom w:val="single" w:sz="4" w:space="0" w:color="auto"/>
            </w:tcBorders>
            <w:shd w:val="clear" w:color="auto" w:fill="BFBFBF"/>
            <w:vAlign w:val="center"/>
          </w:tcPr>
          <w:p w:rsidR="00E01216" w:rsidRDefault="00E01216" w:rsidP="006965E2">
            <w:pPr>
              <w:pStyle w:val="Tableheading"/>
            </w:pPr>
            <w:r>
              <w:t>QUESTION</w:t>
            </w:r>
          </w:p>
        </w:tc>
        <w:tc>
          <w:tcPr>
            <w:tcW w:w="8251" w:type="dxa"/>
            <w:shd w:val="clear" w:color="auto" w:fill="BFBFBF"/>
            <w:vAlign w:val="center"/>
          </w:tcPr>
          <w:p w:rsidR="00E01216" w:rsidRDefault="00E01216" w:rsidP="006965E2">
            <w:pPr>
              <w:pStyle w:val="Tableheading"/>
            </w:pPr>
            <w:r>
              <w:t>COMMENT</w:t>
            </w:r>
          </w:p>
        </w:tc>
      </w:tr>
      <w:tr w:rsidR="00E01216" w:rsidTr="006965E2">
        <w:trPr>
          <w:cantSplit/>
          <w:trHeight w:val="854"/>
        </w:trPr>
        <w:tc>
          <w:tcPr>
            <w:tcW w:w="709" w:type="dxa"/>
            <w:tcBorders>
              <w:right w:val="nil"/>
            </w:tcBorders>
            <w:shd w:val="clear" w:color="auto" w:fill="AACACE"/>
            <w:vAlign w:val="center"/>
          </w:tcPr>
          <w:p w:rsidR="00E01216" w:rsidRDefault="00E01216" w:rsidP="006965E2">
            <w:pPr>
              <w:pStyle w:val="Tablebodytext"/>
              <w:rPr>
                <w:lang w:val="en-AU"/>
              </w:rPr>
            </w:pPr>
            <w:r>
              <w:rPr>
                <w:lang w:val="en-AU"/>
              </w:rPr>
              <w:t>Q1</w:t>
            </w:r>
          </w:p>
        </w:tc>
        <w:tc>
          <w:tcPr>
            <w:tcW w:w="3827" w:type="dxa"/>
            <w:tcBorders>
              <w:left w:val="nil"/>
            </w:tcBorders>
            <w:shd w:val="clear" w:color="auto" w:fill="AACACE"/>
            <w:vAlign w:val="center"/>
          </w:tcPr>
          <w:p w:rsidR="00E01216" w:rsidRDefault="00E01216" w:rsidP="006965E2">
            <w:pPr>
              <w:pStyle w:val="Tablebodytext"/>
              <w:rPr>
                <w:lang w:val="en-AU"/>
              </w:rPr>
            </w:pPr>
            <w:r w:rsidRPr="000E5C60">
              <w:rPr>
                <w:lang w:val="en-AU"/>
              </w:rPr>
              <w:t>Do you have any comments on the high-level process described in this section?</w:t>
            </w:r>
          </w:p>
        </w:tc>
        <w:tc>
          <w:tcPr>
            <w:tcW w:w="8251" w:type="dxa"/>
            <w:vAlign w:val="center"/>
          </w:tcPr>
          <w:p w:rsidR="00E01216" w:rsidRDefault="00E01216" w:rsidP="006965E2">
            <w:pPr>
              <w:pStyle w:val="Tablebodytext"/>
            </w:pPr>
            <w:r>
              <w:t xml:space="preserve">The summary provided is accurate and reflects </w:t>
            </w:r>
            <w:proofErr w:type="gramStart"/>
            <w:r>
              <w:t>Powerco’s understa</w:t>
            </w:r>
            <w:r w:rsidR="0026667B">
              <w:t>nd</w:t>
            </w:r>
            <w:r>
              <w:t>ing</w:t>
            </w:r>
            <w:proofErr w:type="gramEnd"/>
            <w:r>
              <w:t xml:space="preserve"> of the issues and </w:t>
            </w:r>
            <w:r w:rsidR="0026667B">
              <w:t xml:space="preserve">the </w:t>
            </w:r>
            <w:r>
              <w:t xml:space="preserve">work completed to date. We appreciate the clear and concise way it has been summarised.   </w:t>
            </w:r>
          </w:p>
        </w:tc>
      </w:tr>
      <w:tr w:rsidR="00E01216" w:rsidTr="006965E2">
        <w:trPr>
          <w:cantSplit/>
          <w:trHeight w:val="854"/>
        </w:trPr>
        <w:tc>
          <w:tcPr>
            <w:tcW w:w="709" w:type="dxa"/>
            <w:tcBorders>
              <w:right w:val="nil"/>
            </w:tcBorders>
            <w:shd w:val="clear" w:color="auto" w:fill="AACACE"/>
            <w:vAlign w:val="center"/>
          </w:tcPr>
          <w:p w:rsidR="00E01216" w:rsidRDefault="00E01216" w:rsidP="006965E2">
            <w:pPr>
              <w:pStyle w:val="Tablebodytext"/>
              <w:rPr>
                <w:lang w:val="en-AU"/>
              </w:rPr>
            </w:pPr>
            <w:r>
              <w:rPr>
                <w:lang w:val="en-AU"/>
              </w:rPr>
              <w:t>Q2</w:t>
            </w:r>
          </w:p>
        </w:tc>
        <w:tc>
          <w:tcPr>
            <w:tcW w:w="3827" w:type="dxa"/>
            <w:tcBorders>
              <w:left w:val="nil"/>
            </w:tcBorders>
            <w:shd w:val="clear" w:color="auto" w:fill="AACACE"/>
            <w:vAlign w:val="center"/>
          </w:tcPr>
          <w:p w:rsidR="00E01216" w:rsidRPr="000E5C60" w:rsidRDefault="00E01216" w:rsidP="006965E2">
            <w:pPr>
              <w:pStyle w:val="Tablebodytext"/>
              <w:rPr>
                <w:lang w:val="en-AU"/>
              </w:rPr>
            </w:pPr>
            <w:r w:rsidRPr="000E5C60">
              <w:rPr>
                <w:lang w:val="en-AU"/>
              </w:rPr>
              <w:t xml:space="preserve">Do you have any comment regarding the insolvency trigger?  </w:t>
            </w:r>
          </w:p>
        </w:tc>
        <w:tc>
          <w:tcPr>
            <w:tcW w:w="8251" w:type="dxa"/>
            <w:vAlign w:val="center"/>
          </w:tcPr>
          <w:p w:rsidR="00E01216" w:rsidRDefault="00E01216" w:rsidP="006965E2">
            <w:pPr>
              <w:pStyle w:val="Tablebodytext"/>
            </w:pPr>
            <w:r>
              <w:t xml:space="preserve">We support the definition as it is consistent with the Companies Act 1993 and is unambiguous.  </w:t>
            </w:r>
          </w:p>
        </w:tc>
      </w:tr>
      <w:tr w:rsidR="00E01216" w:rsidTr="006965E2">
        <w:trPr>
          <w:cantSplit/>
          <w:trHeight w:val="854"/>
        </w:trPr>
        <w:tc>
          <w:tcPr>
            <w:tcW w:w="709" w:type="dxa"/>
            <w:tcBorders>
              <w:right w:val="nil"/>
            </w:tcBorders>
            <w:shd w:val="clear" w:color="auto" w:fill="AACACE"/>
            <w:vAlign w:val="center"/>
          </w:tcPr>
          <w:p w:rsidR="00E01216" w:rsidRDefault="00E01216" w:rsidP="006965E2">
            <w:pPr>
              <w:pStyle w:val="Tablebodytext"/>
              <w:rPr>
                <w:lang w:val="en-AU"/>
              </w:rPr>
            </w:pPr>
            <w:r>
              <w:rPr>
                <w:lang w:val="en-AU"/>
              </w:rPr>
              <w:t>Q3</w:t>
            </w:r>
          </w:p>
        </w:tc>
        <w:tc>
          <w:tcPr>
            <w:tcW w:w="3827" w:type="dxa"/>
            <w:tcBorders>
              <w:left w:val="nil"/>
            </w:tcBorders>
            <w:shd w:val="clear" w:color="auto" w:fill="AACACE"/>
            <w:vAlign w:val="center"/>
          </w:tcPr>
          <w:p w:rsidR="00E01216" w:rsidRPr="000E5C60" w:rsidRDefault="00E01216" w:rsidP="006965E2">
            <w:pPr>
              <w:pStyle w:val="Tablebodytext"/>
              <w:rPr>
                <w:lang w:val="en-AU"/>
              </w:rPr>
            </w:pPr>
            <w:r w:rsidRPr="000E5C60">
              <w:rPr>
                <w:lang w:val="en-AU"/>
              </w:rPr>
              <w:t xml:space="preserve">Should the obligation to report </w:t>
            </w:r>
            <w:proofErr w:type="gramStart"/>
            <w:r w:rsidRPr="000E5C60">
              <w:rPr>
                <w:lang w:val="en-AU"/>
              </w:rPr>
              <w:t>a retailer</w:t>
            </w:r>
            <w:proofErr w:type="gramEnd"/>
            <w:r w:rsidRPr="000E5C60">
              <w:rPr>
                <w:lang w:val="en-AU"/>
              </w:rPr>
              <w:t xml:space="preserve"> insolvency be placed on retailers only, to report their own insolvencies, or should gas producers, gas wholesalers, and the allocation agent also have reporting responsibilities (as proposed above)?</w:t>
            </w:r>
          </w:p>
        </w:tc>
        <w:tc>
          <w:tcPr>
            <w:tcW w:w="8251" w:type="dxa"/>
            <w:vAlign w:val="center"/>
          </w:tcPr>
          <w:p w:rsidR="00E01216" w:rsidRDefault="00E01216" w:rsidP="006965E2">
            <w:pPr>
              <w:pStyle w:val="Tablebodytext"/>
            </w:pPr>
            <w:r>
              <w:t xml:space="preserve">The entire industry benefits from </w:t>
            </w:r>
            <w:r w:rsidR="0026667B">
              <w:t>clear communication of the fact that insolvency has occurred.  Consequently,</w:t>
            </w:r>
            <w:r>
              <w:t xml:space="preserve"> we support the proposal that</w:t>
            </w:r>
            <w:r w:rsidR="0026667B">
              <w:t>, in addition to retailers,</w:t>
            </w:r>
            <w:r w:rsidRPr="006F012B">
              <w:t xml:space="preserve"> gas producers, gas wholesalers, and the allocation agent </w:t>
            </w:r>
            <w:r w:rsidR="0026667B">
              <w:t xml:space="preserve">should </w:t>
            </w:r>
            <w:r w:rsidRPr="006F012B">
              <w:t>also have reporting responsibilities</w:t>
            </w:r>
            <w:r>
              <w:t>.</w:t>
            </w:r>
          </w:p>
        </w:tc>
      </w:tr>
      <w:tr w:rsidR="00E01216" w:rsidTr="006965E2">
        <w:trPr>
          <w:cantSplit/>
          <w:trHeight w:val="854"/>
        </w:trPr>
        <w:tc>
          <w:tcPr>
            <w:tcW w:w="709" w:type="dxa"/>
            <w:tcBorders>
              <w:right w:val="nil"/>
            </w:tcBorders>
            <w:shd w:val="clear" w:color="auto" w:fill="AACACE"/>
            <w:vAlign w:val="center"/>
          </w:tcPr>
          <w:p w:rsidR="00E01216" w:rsidRDefault="00E01216" w:rsidP="006965E2">
            <w:pPr>
              <w:pStyle w:val="Tablebodytext"/>
              <w:rPr>
                <w:lang w:val="en-AU"/>
              </w:rPr>
            </w:pPr>
            <w:r>
              <w:rPr>
                <w:lang w:val="en-AU"/>
              </w:rPr>
              <w:t>Q4</w:t>
            </w:r>
          </w:p>
        </w:tc>
        <w:tc>
          <w:tcPr>
            <w:tcW w:w="3827" w:type="dxa"/>
            <w:tcBorders>
              <w:left w:val="nil"/>
            </w:tcBorders>
            <w:shd w:val="clear" w:color="auto" w:fill="AACACE"/>
            <w:vAlign w:val="center"/>
          </w:tcPr>
          <w:p w:rsidR="00E01216" w:rsidRPr="000E5C60" w:rsidRDefault="00E01216" w:rsidP="006965E2">
            <w:pPr>
              <w:pStyle w:val="Tablebodytext"/>
              <w:rPr>
                <w:lang w:val="en-AU"/>
              </w:rPr>
            </w:pPr>
            <w:r w:rsidRPr="000E5C60">
              <w:rPr>
                <w:lang w:val="en-AU"/>
              </w:rPr>
              <w:t>Do you agree that these changes to the Switching Rules would be minor and would not adversely affect the interest of any person in a substantial way?</w:t>
            </w:r>
          </w:p>
        </w:tc>
        <w:tc>
          <w:tcPr>
            <w:tcW w:w="8251" w:type="dxa"/>
            <w:vAlign w:val="center"/>
          </w:tcPr>
          <w:p w:rsidR="00E01216" w:rsidRDefault="00E01216" w:rsidP="006965E2">
            <w:pPr>
              <w:pStyle w:val="Tablebodytext"/>
            </w:pPr>
            <w:r>
              <w:t>Yes</w:t>
            </w:r>
            <w:r w:rsidR="0026667B">
              <w:t>,</w:t>
            </w:r>
            <w:r>
              <w:t xml:space="preserve"> we agree that the proposed changes are minor and </w:t>
            </w:r>
            <w:r w:rsidR="00822A11">
              <w:t>do not</w:t>
            </w:r>
            <w:r>
              <w:t xml:space="preserve"> adversely affect retailers in a substantial way. </w:t>
            </w:r>
          </w:p>
        </w:tc>
      </w:tr>
      <w:tr w:rsidR="00E01216" w:rsidTr="006965E2">
        <w:trPr>
          <w:cantSplit/>
          <w:trHeight w:val="854"/>
        </w:trPr>
        <w:tc>
          <w:tcPr>
            <w:tcW w:w="709" w:type="dxa"/>
            <w:tcBorders>
              <w:right w:val="nil"/>
            </w:tcBorders>
            <w:shd w:val="clear" w:color="auto" w:fill="AACACE"/>
            <w:vAlign w:val="center"/>
          </w:tcPr>
          <w:p w:rsidR="00E01216" w:rsidRDefault="00E01216" w:rsidP="006965E2">
            <w:pPr>
              <w:pStyle w:val="Tablebodytext"/>
              <w:rPr>
                <w:lang w:val="en-AU"/>
              </w:rPr>
            </w:pPr>
            <w:r>
              <w:rPr>
                <w:lang w:val="en-AU"/>
              </w:rPr>
              <w:t>Q5</w:t>
            </w:r>
          </w:p>
        </w:tc>
        <w:tc>
          <w:tcPr>
            <w:tcW w:w="3827" w:type="dxa"/>
            <w:tcBorders>
              <w:left w:val="nil"/>
            </w:tcBorders>
            <w:shd w:val="clear" w:color="auto" w:fill="AACACE"/>
            <w:vAlign w:val="center"/>
          </w:tcPr>
          <w:p w:rsidR="00E01216" w:rsidRPr="000E5C60" w:rsidRDefault="00E01216" w:rsidP="006965E2">
            <w:pPr>
              <w:pStyle w:val="Tablebodytext"/>
              <w:rPr>
                <w:lang w:val="en-AU"/>
              </w:rPr>
            </w:pPr>
            <w:r w:rsidRPr="000E5C60">
              <w:rPr>
                <w:lang w:val="en-AU"/>
              </w:rPr>
              <w:t>Do you agree that the Switching Rules be amended to include the ability for Gas Industry Co to require information from an insolvent retailer?</w:t>
            </w:r>
          </w:p>
        </w:tc>
        <w:tc>
          <w:tcPr>
            <w:tcW w:w="8251" w:type="dxa"/>
            <w:vAlign w:val="center"/>
          </w:tcPr>
          <w:p w:rsidR="00E01216" w:rsidRDefault="00822A11" w:rsidP="006965E2">
            <w:pPr>
              <w:pStyle w:val="Tablebodytext"/>
            </w:pPr>
            <w:r>
              <w:t xml:space="preserve">We agree. </w:t>
            </w:r>
            <w:r w:rsidR="00E01216">
              <w:t xml:space="preserve"> Access to the relevant information is essential to helping ensure that this process is managed in a proactive manner that benefits customers and industry members. </w:t>
            </w:r>
          </w:p>
        </w:tc>
      </w:tr>
      <w:tr w:rsidR="00E01216" w:rsidTr="006965E2">
        <w:trPr>
          <w:cantSplit/>
          <w:trHeight w:val="854"/>
        </w:trPr>
        <w:tc>
          <w:tcPr>
            <w:tcW w:w="709" w:type="dxa"/>
            <w:tcBorders>
              <w:right w:val="nil"/>
            </w:tcBorders>
            <w:shd w:val="clear" w:color="auto" w:fill="AACACE"/>
            <w:vAlign w:val="center"/>
          </w:tcPr>
          <w:p w:rsidR="00E01216" w:rsidRDefault="00E01216" w:rsidP="006965E2">
            <w:pPr>
              <w:pStyle w:val="Tablebodytext"/>
              <w:rPr>
                <w:lang w:val="en-AU"/>
              </w:rPr>
            </w:pPr>
            <w:r>
              <w:rPr>
                <w:lang w:val="en-AU"/>
              </w:rPr>
              <w:t>Q6</w:t>
            </w:r>
          </w:p>
        </w:tc>
        <w:tc>
          <w:tcPr>
            <w:tcW w:w="3827" w:type="dxa"/>
            <w:tcBorders>
              <w:left w:val="nil"/>
            </w:tcBorders>
            <w:shd w:val="clear" w:color="auto" w:fill="AACACE"/>
            <w:vAlign w:val="center"/>
          </w:tcPr>
          <w:p w:rsidR="00E01216" w:rsidRPr="000E5C60" w:rsidRDefault="00E01216" w:rsidP="006965E2">
            <w:pPr>
              <w:pStyle w:val="Tablebodytext"/>
              <w:rPr>
                <w:lang w:val="en-AU"/>
              </w:rPr>
            </w:pPr>
            <w:r w:rsidRPr="000E5C60">
              <w:rPr>
                <w:lang w:val="en-AU"/>
              </w:rPr>
              <w:t>Do you agree with the proposed content of the report(s)?  Are there items that should be added or deleted, and why?</w:t>
            </w:r>
          </w:p>
        </w:tc>
        <w:tc>
          <w:tcPr>
            <w:tcW w:w="8251" w:type="dxa"/>
            <w:vAlign w:val="center"/>
          </w:tcPr>
          <w:p w:rsidR="00E01216" w:rsidRDefault="00822A11" w:rsidP="006965E2">
            <w:pPr>
              <w:pStyle w:val="Tablebodytext"/>
            </w:pPr>
            <w:r>
              <w:t>We agree.</w:t>
            </w:r>
            <w:r w:rsidR="00E01216">
              <w:t xml:space="preserve">  We support a single file report format as </w:t>
            </w:r>
            <w:r>
              <w:t>this</w:t>
            </w:r>
            <w:r w:rsidR="00E01216">
              <w:t xml:space="preserve"> helps reduce potential error. We also consider that </w:t>
            </w:r>
            <w:r>
              <w:t>the</w:t>
            </w:r>
            <w:r w:rsidR="00E01216">
              <w:t xml:space="preserve"> 12 month lead time proposed for retailers to produce this report is reasonable. </w:t>
            </w:r>
          </w:p>
        </w:tc>
      </w:tr>
      <w:tr w:rsidR="00E01216" w:rsidTr="006965E2">
        <w:trPr>
          <w:cantSplit/>
          <w:trHeight w:val="854"/>
        </w:trPr>
        <w:tc>
          <w:tcPr>
            <w:tcW w:w="709" w:type="dxa"/>
            <w:tcBorders>
              <w:right w:val="nil"/>
            </w:tcBorders>
            <w:shd w:val="clear" w:color="auto" w:fill="AACACE"/>
            <w:vAlign w:val="center"/>
          </w:tcPr>
          <w:p w:rsidR="00E01216" w:rsidRDefault="00E01216" w:rsidP="006965E2">
            <w:pPr>
              <w:pStyle w:val="Tablebodytext"/>
              <w:rPr>
                <w:lang w:val="en-AU"/>
              </w:rPr>
            </w:pPr>
            <w:r>
              <w:rPr>
                <w:lang w:val="en-AU"/>
              </w:rPr>
              <w:lastRenderedPageBreak/>
              <w:t>Q7</w:t>
            </w:r>
          </w:p>
        </w:tc>
        <w:tc>
          <w:tcPr>
            <w:tcW w:w="3827" w:type="dxa"/>
            <w:tcBorders>
              <w:left w:val="nil"/>
            </w:tcBorders>
            <w:shd w:val="clear" w:color="auto" w:fill="AACACE"/>
            <w:vAlign w:val="center"/>
          </w:tcPr>
          <w:p w:rsidR="00E01216" w:rsidRPr="000E5C60" w:rsidRDefault="00E01216" w:rsidP="006965E2">
            <w:pPr>
              <w:pStyle w:val="Tablebodytext"/>
              <w:rPr>
                <w:lang w:val="en-AU"/>
              </w:rPr>
            </w:pPr>
            <w:r w:rsidRPr="000E5C60">
              <w:rPr>
                <w:lang w:val="en-AU"/>
              </w:rPr>
              <w:t>Do you agree that these changes are minor and would not adversely affect the interest of any person in a substantial way?</w:t>
            </w:r>
          </w:p>
        </w:tc>
        <w:tc>
          <w:tcPr>
            <w:tcW w:w="8251" w:type="dxa"/>
            <w:vAlign w:val="center"/>
          </w:tcPr>
          <w:p w:rsidR="00E01216" w:rsidRDefault="00822A11" w:rsidP="006965E2">
            <w:pPr>
              <w:pStyle w:val="Tablebodytext"/>
            </w:pPr>
            <w:r>
              <w:t>We a</w:t>
            </w:r>
            <w:r w:rsidR="00E01216">
              <w:t>gree.</w:t>
            </w:r>
          </w:p>
        </w:tc>
      </w:tr>
      <w:tr w:rsidR="00E01216" w:rsidTr="006965E2">
        <w:trPr>
          <w:cantSplit/>
          <w:trHeight w:val="854"/>
        </w:trPr>
        <w:tc>
          <w:tcPr>
            <w:tcW w:w="709" w:type="dxa"/>
            <w:tcBorders>
              <w:right w:val="nil"/>
            </w:tcBorders>
            <w:shd w:val="clear" w:color="auto" w:fill="AACACE"/>
            <w:vAlign w:val="center"/>
          </w:tcPr>
          <w:p w:rsidR="00E01216" w:rsidRDefault="00E01216" w:rsidP="006965E2">
            <w:pPr>
              <w:pStyle w:val="Tablebodytext"/>
              <w:rPr>
                <w:lang w:val="en-AU"/>
              </w:rPr>
            </w:pPr>
            <w:r>
              <w:rPr>
                <w:lang w:val="en-AU"/>
              </w:rPr>
              <w:t>Q8</w:t>
            </w:r>
          </w:p>
        </w:tc>
        <w:tc>
          <w:tcPr>
            <w:tcW w:w="3827" w:type="dxa"/>
            <w:tcBorders>
              <w:left w:val="nil"/>
            </w:tcBorders>
            <w:shd w:val="clear" w:color="auto" w:fill="AACACE"/>
            <w:vAlign w:val="center"/>
          </w:tcPr>
          <w:p w:rsidR="00E01216" w:rsidRPr="000E5C60" w:rsidRDefault="00E01216" w:rsidP="006965E2">
            <w:pPr>
              <w:pStyle w:val="Tablebodytext"/>
              <w:rPr>
                <w:lang w:val="en-AU"/>
              </w:rPr>
            </w:pPr>
            <w:r w:rsidRPr="000E5C60">
              <w:rPr>
                <w:lang w:val="en-AU"/>
              </w:rPr>
              <w:t xml:space="preserve">Further, it is likely that the cost of monitoring would be offset by the savings gained from finding any instances of gas consumption at the monitored ICPs, which can then be prevented through disconnection or used to identify potential new customers.  In other words, without the proposed change, any UFG caused by vacant and inactive ICPs of the insolvent retailer will be allocated to remaining retailers at the affected gas gate in proportion to their customer load.  With the proposed change, gas consumption at those ICPs will be identified and prevented, providing a benefit to all retailers at the gate at the expense of minor monitoring costs. Accordingly, Gas Industry Co concludes that this change does not adversely affect retailers in a substantial way. Do you agree with the proposed amendments to the Switching Rules? </w:t>
            </w:r>
          </w:p>
        </w:tc>
        <w:tc>
          <w:tcPr>
            <w:tcW w:w="8251" w:type="dxa"/>
            <w:vAlign w:val="center"/>
          </w:tcPr>
          <w:p w:rsidR="00E01216" w:rsidRDefault="00E01216" w:rsidP="006965E2">
            <w:pPr>
              <w:pStyle w:val="Tablebodytext"/>
            </w:pPr>
            <w:r>
              <w:t xml:space="preserve">We support this proactive approach and believe that the saving gained from monitoring these sites will outweigh the costs associated with the </w:t>
            </w:r>
            <w:proofErr w:type="spellStart"/>
            <w:r>
              <w:t>ongoing</w:t>
            </w:r>
            <w:proofErr w:type="spellEnd"/>
            <w:r>
              <w:t xml:space="preserve"> monitoring.</w:t>
            </w:r>
          </w:p>
          <w:p w:rsidR="00E01216" w:rsidRDefault="00E01216" w:rsidP="006965E2">
            <w:pPr>
              <w:pStyle w:val="Tablebodytext"/>
            </w:pPr>
          </w:p>
          <w:p w:rsidR="00E01216" w:rsidRDefault="00822A11" w:rsidP="006965E2">
            <w:pPr>
              <w:pStyle w:val="Tablebodytext"/>
            </w:pPr>
            <w:r>
              <w:t>We a</w:t>
            </w:r>
            <w:r w:rsidR="00E01216">
              <w:t xml:space="preserve">gree with the </w:t>
            </w:r>
            <w:r w:rsidR="00E01216" w:rsidRPr="000E5C60">
              <w:rPr>
                <w:lang w:val="en-AU"/>
              </w:rPr>
              <w:t>the proposed amendments to the Switching Rules</w:t>
            </w:r>
            <w:r w:rsidR="00E01216">
              <w:rPr>
                <w:lang w:val="en-AU"/>
              </w:rPr>
              <w:t>.</w:t>
            </w:r>
          </w:p>
        </w:tc>
      </w:tr>
      <w:tr w:rsidR="00E01216" w:rsidTr="006965E2">
        <w:trPr>
          <w:cantSplit/>
          <w:trHeight w:val="854"/>
        </w:trPr>
        <w:tc>
          <w:tcPr>
            <w:tcW w:w="709" w:type="dxa"/>
            <w:tcBorders>
              <w:right w:val="nil"/>
            </w:tcBorders>
            <w:shd w:val="clear" w:color="auto" w:fill="AACACE"/>
            <w:vAlign w:val="center"/>
          </w:tcPr>
          <w:p w:rsidR="00E01216" w:rsidRDefault="00E01216" w:rsidP="006965E2">
            <w:pPr>
              <w:pStyle w:val="Tablebodytext"/>
              <w:rPr>
                <w:lang w:val="en-AU"/>
              </w:rPr>
            </w:pPr>
            <w:r>
              <w:rPr>
                <w:lang w:val="en-AU"/>
              </w:rPr>
              <w:t>Q9</w:t>
            </w:r>
          </w:p>
        </w:tc>
        <w:tc>
          <w:tcPr>
            <w:tcW w:w="3827" w:type="dxa"/>
            <w:tcBorders>
              <w:left w:val="nil"/>
            </w:tcBorders>
            <w:shd w:val="clear" w:color="auto" w:fill="AACACE"/>
            <w:vAlign w:val="center"/>
          </w:tcPr>
          <w:p w:rsidR="00E01216" w:rsidRPr="000E5C60" w:rsidRDefault="00E01216" w:rsidP="006965E2">
            <w:pPr>
              <w:pStyle w:val="Tablebodytext"/>
              <w:rPr>
                <w:lang w:val="en-AU"/>
              </w:rPr>
            </w:pPr>
            <w:r w:rsidRPr="000E5C60">
              <w:rPr>
                <w:lang w:val="en-AU"/>
              </w:rPr>
              <w:t>Do you agree that the proposed change is minor and does not adversely affect the interests of any person in a substantial way? If not, please describe the substantial adverse effect.</w:t>
            </w:r>
          </w:p>
        </w:tc>
        <w:tc>
          <w:tcPr>
            <w:tcW w:w="8251" w:type="dxa"/>
            <w:vAlign w:val="center"/>
          </w:tcPr>
          <w:p w:rsidR="00E01216" w:rsidRDefault="00822A11" w:rsidP="006965E2">
            <w:pPr>
              <w:pStyle w:val="Tablebodytext"/>
            </w:pPr>
            <w:r>
              <w:t>Yes, we</w:t>
            </w:r>
            <w:r w:rsidR="00E01216">
              <w:t xml:space="preserve"> agree that the proposed changes are minor and do</w:t>
            </w:r>
            <w:r>
              <w:t xml:space="preserve"> not</w:t>
            </w:r>
            <w:r w:rsidR="00E01216">
              <w:t xml:space="preserve"> adversely affect any person in a substantial way</w:t>
            </w:r>
            <w:r>
              <w:t>,</w:t>
            </w:r>
            <w:r w:rsidR="00E01216">
              <w:t xml:space="preserve"> as processes will already be in place with retailers to monitor ICPs with inactive or vacant status.</w:t>
            </w:r>
          </w:p>
        </w:tc>
      </w:tr>
      <w:tr w:rsidR="00E01216" w:rsidTr="006965E2">
        <w:trPr>
          <w:cantSplit/>
          <w:trHeight w:val="854"/>
        </w:trPr>
        <w:tc>
          <w:tcPr>
            <w:tcW w:w="709" w:type="dxa"/>
            <w:tcBorders>
              <w:right w:val="nil"/>
            </w:tcBorders>
            <w:shd w:val="clear" w:color="auto" w:fill="AACACE"/>
            <w:vAlign w:val="center"/>
          </w:tcPr>
          <w:p w:rsidR="00E01216" w:rsidRDefault="00E01216" w:rsidP="006965E2">
            <w:pPr>
              <w:pStyle w:val="Tablebodytext"/>
              <w:rPr>
                <w:lang w:val="en-AU"/>
              </w:rPr>
            </w:pPr>
            <w:r>
              <w:rPr>
                <w:lang w:val="en-AU"/>
              </w:rPr>
              <w:t>Q10</w:t>
            </w:r>
          </w:p>
        </w:tc>
        <w:tc>
          <w:tcPr>
            <w:tcW w:w="3827" w:type="dxa"/>
            <w:tcBorders>
              <w:left w:val="nil"/>
            </w:tcBorders>
            <w:shd w:val="clear" w:color="auto" w:fill="AACACE"/>
            <w:vAlign w:val="center"/>
          </w:tcPr>
          <w:p w:rsidR="00E01216" w:rsidRPr="000E5C60" w:rsidRDefault="00E01216" w:rsidP="006965E2">
            <w:pPr>
              <w:pStyle w:val="Tablebodytext"/>
              <w:rPr>
                <w:lang w:val="en-AU"/>
              </w:rPr>
            </w:pPr>
            <w:r w:rsidRPr="000E5C60">
              <w:rPr>
                <w:lang w:val="en-AU"/>
              </w:rPr>
              <w:t>Do you agree with the proposed trigger?</w:t>
            </w:r>
          </w:p>
        </w:tc>
        <w:tc>
          <w:tcPr>
            <w:tcW w:w="8251" w:type="dxa"/>
            <w:vAlign w:val="center"/>
          </w:tcPr>
          <w:p w:rsidR="00E01216" w:rsidRDefault="00822A11" w:rsidP="006965E2">
            <w:pPr>
              <w:pStyle w:val="Tablebodytext"/>
            </w:pPr>
            <w:r>
              <w:t>We a</w:t>
            </w:r>
            <w:r w:rsidR="00E01216">
              <w:t xml:space="preserve">gree.  The arrangements </w:t>
            </w:r>
            <w:r>
              <w:t xml:space="preserve">are clear but also </w:t>
            </w:r>
            <w:r w:rsidR="00E01216">
              <w:t>provide the flexibility</w:t>
            </w:r>
            <w:r>
              <w:t xml:space="preserve"> needed</w:t>
            </w:r>
            <w:r w:rsidR="00E01216">
              <w:t xml:space="preserve"> to ensure the triggering of customer transfer occurs as required.</w:t>
            </w:r>
          </w:p>
        </w:tc>
      </w:tr>
      <w:tr w:rsidR="00E01216" w:rsidTr="006965E2">
        <w:trPr>
          <w:cantSplit/>
          <w:trHeight w:val="854"/>
        </w:trPr>
        <w:tc>
          <w:tcPr>
            <w:tcW w:w="709" w:type="dxa"/>
            <w:tcBorders>
              <w:right w:val="nil"/>
            </w:tcBorders>
            <w:shd w:val="clear" w:color="auto" w:fill="AACACE"/>
            <w:vAlign w:val="center"/>
          </w:tcPr>
          <w:p w:rsidR="00E01216" w:rsidRDefault="00E01216" w:rsidP="006965E2">
            <w:pPr>
              <w:pStyle w:val="Tablebodytext"/>
              <w:rPr>
                <w:lang w:val="en-AU"/>
              </w:rPr>
            </w:pPr>
            <w:r>
              <w:rPr>
                <w:lang w:val="en-AU"/>
              </w:rPr>
              <w:lastRenderedPageBreak/>
              <w:t>Q11</w:t>
            </w:r>
          </w:p>
        </w:tc>
        <w:tc>
          <w:tcPr>
            <w:tcW w:w="3827" w:type="dxa"/>
            <w:tcBorders>
              <w:left w:val="nil"/>
            </w:tcBorders>
            <w:shd w:val="clear" w:color="auto" w:fill="AACACE"/>
            <w:vAlign w:val="center"/>
          </w:tcPr>
          <w:p w:rsidR="00E01216" w:rsidRPr="000E5C60" w:rsidRDefault="00E01216" w:rsidP="006965E2">
            <w:pPr>
              <w:pStyle w:val="Tablebodytext"/>
              <w:rPr>
                <w:lang w:val="en-AU"/>
              </w:rPr>
            </w:pPr>
            <w:r w:rsidRPr="000E5C60">
              <w:rPr>
                <w:lang w:val="en-AU"/>
              </w:rPr>
              <w:t xml:space="preserve">Do you agree with the proposed approach of transferring orphan consumers on an ICP-by-ICP basis?  If not, what alternative would you suggest that takes into account the need to transfer customers quickly and the limited resources at Gas Industry </w:t>
            </w:r>
            <w:proofErr w:type="spellStart"/>
            <w:r w:rsidRPr="000E5C60">
              <w:rPr>
                <w:lang w:val="en-AU"/>
              </w:rPr>
              <w:t>Co’s</w:t>
            </w:r>
            <w:proofErr w:type="spellEnd"/>
            <w:r w:rsidRPr="000E5C60">
              <w:rPr>
                <w:lang w:val="en-AU"/>
              </w:rPr>
              <w:t xml:space="preserve"> disposal?</w:t>
            </w:r>
          </w:p>
        </w:tc>
        <w:tc>
          <w:tcPr>
            <w:tcW w:w="8251" w:type="dxa"/>
            <w:vAlign w:val="center"/>
          </w:tcPr>
          <w:p w:rsidR="00E01216" w:rsidRDefault="00A91799" w:rsidP="006965E2">
            <w:pPr>
              <w:pStyle w:val="Tablebodytext"/>
            </w:pPr>
            <w:r>
              <w:t>We a</w:t>
            </w:r>
            <w:r w:rsidR="00E01216">
              <w:t>gree</w:t>
            </w:r>
            <w:r>
              <w:t xml:space="preserve">. </w:t>
            </w:r>
            <w:r w:rsidR="00E01216">
              <w:t xml:space="preserve"> </w:t>
            </w:r>
            <w:r>
              <w:t>W</w:t>
            </w:r>
            <w:r w:rsidR="00E01216">
              <w:t>e support the focus on delivering a timely and efficient transfer process and consider that the GIC’s proposal does this.</w:t>
            </w:r>
          </w:p>
        </w:tc>
      </w:tr>
      <w:tr w:rsidR="00E01216" w:rsidTr="006965E2">
        <w:trPr>
          <w:cantSplit/>
          <w:trHeight w:val="854"/>
        </w:trPr>
        <w:tc>
          <w:tcPr>
            <w:tcW w:w="709" w:type="dxa"/>
            <w:tcBorders>
              <w:right w:val="nil"/>
            </w:tcBorders>
            <w:shd w:val="clear" w:color="auto" w:fill="AACACE"/>
            <w:vAlign w:val="center"/>
          </w:tcPr>
          <w:p w:rsidR="00E01216" w:rsidRDefault="00E01216" w:rsidP="006965E2">
            <w:pPr>
              <w:pStyle w:val="Tablebodytext"/>
              <w:rPr>
                <w:lang w:val="en-AU"/>
              </w:rPr>
            </w:pPr>
            <w:r>
              <w:rPr>
                <w:lang w:val="en-AU"/>
              </w:rPr>
              <w:t>Q12</w:t>
            </w:r>
          </w:p>
        </w:tc>
        <w:tc>
          <w:tcPr>
            <w:tcW w:w="3827" w:type="dxa"/>
            <w:tcBorders>
              <w:left w:val="nil"/>
            </w:tcBorders>
            <w:shd w:val="clear" w:color="auto" w:fill="AACACE"/>
            <w:vAlign w:val="center"/>
          </w:tcPr>
          <w:p w:rsidR="00E01216" w:rsidRPr="000E5C60" w:rsidRDefault="00E01216" w:rsidP="006965E2">
            <w:pPr>
              <w:pStyle w:val="Tablebodytext"/>
              <w:rPr>
                <w:lang w:val="en-AU"/>
              </w:rPr>
            </w:pPr>
            <w:r w:rsidRPr="000E5C60">
              <w:rPr>
                <w:lang w:val="en-AU"/>
              </w:rPr>
              <w:t xml:space="preserve">Should a de </w:t>
            </w:r>
            <w:proofErr w:type="spellStart"/>
            <w:r w:rsidRPr="000E5C60">
              <w:rPr>
                <w:lang w:val="en-AU"/>
              </w:rPr>
              <w:t>minimus</w:t>
            </w:r>
            <w:proofErr w:type="spellEnd"/>
            <w:r w:rsidRPr="000E5C60">
              <w:rPr>
                <w:lang w:val="en-AU"/>
              </w:rPr>
              <w:t xml:space="preserve"> threshold (of </w:t>
            </w:r>
            <w:proofErr w:type="spellStart"/>
            <w:r w:rsidRPr="000E5C60">
              <w:rPr>
                <w:lang w:val="en-AU"/>
              </w:rPr>
              <w:t>eg</w:t>
            </w:r>
            <w:proofErr w:type="spellEnd"/>
            <w:r w:rsidRPr="000E5C60">
              <w:rPr>
                <w:lang w:val="en-AU"/>
              </w:rPr>
              <w:t xml:space="preserve"> 5% or 10%) apply to recipient retailers? If yes, do you agree with the proposed separate approaches to allocation group 1-3 and allocation group 4-6 customers? </w:t>
            </w:r>
          </w:p>
        </w:tc>
        <w:tc>
          <w:tcPr>
            <w:tcW w:w="8251" w:type="dxa"/>
            <w:vAlign w:val="center"/>
          </w:tcPr>
          <w:p w:rsidR="00E01216" w:rsidRDefault="00E01216" w:rsidP="006965E2">
            <w:pPr>
              <w:pStyle w:val="Tablebodytext"/>
            </w:pPr>
            <w:r>
              <w:t>Yes</w:t>
            </w:r>
            <w:r w:rsidR="00A91799">
              <w:t>,</w:t>
            </w:r>
            <w:r>
              <w:t xml:space="preserve"> having a de </w:t>
            </w:r>
            <w:proofErr w:type="spellStart"/>
            <w:r>
              <w:t>minimus</w:t>
            </w:r>
            <w:proofErr w:type="spellEnd"/>
            <w:r>
              <w:t xml:space="preserve"> threshold makes sense </w:t>
            </w:r>
            <w:r w:rsidR="00A91799">
              <w:t>as it avoids possible negative repercussions associated with</w:t>
            </w:r>
            <w:r>
              <w:t xml:space="preserve"> small retailers being allocated ICPs numbers that they are unable to cope with.</w:t>
            </w:r>
          </w:p>
          <w:p w:rsidR="00E01216" w:rsidRDefault="00E01216" w:rsidP="006965E2">
            <w:pPr>
              <w:pStyle w:val="Tablebodytext"/>
            </w:pPr>
            <w:r>
              <w:t>We support the proposed approach of separating allocation group 1-3 and allocation group 4-6 customers given that some retailers target specific allocation group</w:t>
            </w:r>
            <w:r w:rsidR="00A91799">
              <w:t>s</w:t>
            </w:r>
            <w:r>
              <w:t xml:space="preserve"> only.</w:t>
            </w:r>
          </w:p>
        </w:tc>
      </w:tr>
      <w:tr w:rsidR="00E01216" w:rsidTr="006965E2">
        <w:trPr>
          <w:cantSplit/>
          <w:trHeight w:val="854"/>
        </w:trPr>
        <w:tc>
          <w:tcPr>
            <w:tcW w:w="709" w:type="dxa"/>
            <w:tcBorders>
              <w:right w:val="nil"/>
            </w:tcBorders>
            <w:shd w:val="clear" w:color="auto" w:fill="AACACE"/>
            <w:vAlign w:val="center"/>
          </w:tcPr>
          <w:p w:rsidR="00E01216" w:rsidRDefault="00E01216" w:rsidP="006965E2">
            <w:pPr>
              <w:pStyle w:val="Tablebodytext"/>
              <w:rPr>
                <w:lang w:val="en-AU"/>
              </w:rPr>
            </w:pPr>
            <w:r>
              <w:rPr>
                <w:lang w:val="en-AU"/>
              </w:rPr>
              <w:t>Q13</w:t>
            </w:r>
          </w:p>
        </w:tc>
        <w:tc>
          <w:tcPr>
            <w:tcW w:w="3827" w:type="dxa"/>
            <w:tcBorders>
              <w:left w:val="nil"/>
            </w:tcBorders>
            <w:shd w:val="clear" w:color="auto" w:fill="AACACE"/>
            <w:vAlign w:val="center"/>
          </w:tcPr>
          <w:p w:rsidR="00E01216" w:rsidRPr="000E5C60" w:rsidRDefault="00E01216" w:rsidP="006965E2">
            <w:pPr>
              <w:pStyle w:val="Tablebodytext"/>
              <w:rPr>
                <w:lang w:val="en-AU"/>
              </w:rPr>
            </w:pPr>
            <w:r w:rsidRPr="000E5C60">
              <w:rPr>
                <w:lang w:val="en-AU"/>
              </w:rPr>
              <w:t>If not, do you prefer the option where all retailers are included, but those with less than 5% market share (by customers and volume)) can opt out?</w:t>
            </w:r>
          </w:p>
        </w:tc>
        <w:tc>
          <w:tcPr>
            <w:tcW w:w="8251" w:type="dxa"/>
            <w:vAlign w:val="center"/>
          </w:tcPr>
          <w:p w:rsidR="00E01216" w:rsidRDefault="00E01216" w:rsidP="006965E2">
            <w:pPr>
              <w:pStyle w:val="Tablebodytext"/>
            </w:pPr>
            <w:r>
              <w:t>N/A</w:t>
            </w:r>
          </w:p>
        </w:tc>
      </w:tr>
      <w:tr w:rsidR="00E01216" w:rsidTr="006965E2">
        <w:trPr>
          <w:cantSplit/>
          <w:trHeight w:val="854"/>
        </w:trPr>
        <w:tc>
          <w:tcPr>
            <w:tcW w:w="709" w:type="dxa"/>
            <w:tcBorders>
              <w:right w:val="nil"/>
            </w:tcBorders>
            <w:shd w:val="clear" w:color="auto" w:fill="AACACE"/>
            <w:vAlign w:val="center"/>
          </w:tcPr>
          <w:p w:rsidR="00E01216" w:rsidRDefault="00E01216" w:rsidP="006965E2">
            <w:pPr>
              <w:pStyle w:val="Tablebodytext"/>
              <w:rPr>
                <w:lang w:val="en-AU"/>
              </w:rPr>
            </w:pPr>
            <w:r>
              <w:rPr>
                <w:lang w:val="en-AU"/>
              </w:rPr>
              <w:t>Q14</w:t>
            </w:r>
          </w:p>
        </w:tc>
        <w:tc>
          <w:tcPr>
            <w:tcW w:w="3827" w:type="dxa"/>
            <w:tcBorders>
              <w:left w:val="nil"/>
            </w:tcBorders>
            <w:shd w:val="clear" w:color="auto" w:fill="AACACE"/>
            <w:vAlign w:val="center"/>
          </w:tcPr>
          <w:p w:rsidR="00E01216" w:rsidRPr="000E5C60" w:rsidRDefault="00E01216" w:rsidP="006965E2">
            <w:pPr>
              <w:pStyle w:val="Tablebodytext"/>
              <w:rPr>
                <w:lang w:val="en-AU"/>
              </w:rPr>
            </w:pPr>
            <w:r w:rsidRPr="000E5C60">
              <w:rPr>
                <w:lang w:val="en-AU"/>
              </w:rPr>
              <w:t>Do you have any views on the proposed ICP allocation methodology?</w:t>
            </w:r>
          </w:p>
        </w:tc>
        <w:tc>
          <w:tcPr>
            <w:tcW w:w="8251" w:type="dxa"/>
            <w:vAlign w:val="center"/>
          </w:tcPr>
          <w:p w:rsidR="00E01216" w:rsidRDefault="00E01216" w:rsidP="006965E2">
            <w:pPr>
              <w:pStyle w:val="Tablebodytext"/>
            </w:pPr>
            <w:r>
              <w:t>We support the GIC’s proposed allocation approach and also acknowledge that</w:t>
            </w:r>
            <w:r w:rsidR="00A91799">
              <w:t>,</w:t>
            </w:r>
            <w:r>
              <w:t xml:space="preserve"> while the </w:t>
            </w:r>
            <w:r w:rsidR="00A91799">
              <w:t>process needs to be transparent</w:t>
            </w:r>
            <w:r>
              <w:t xml:space="preserve">, the time constraints </w:t>
            </w:r>
            <w:r w:rsidR="00A91799">
              <w:t>will not</w:t>
            </w:r>
            <w:r>
              <w:t xml:space="preserve"> allow for consolidation.</w:t>
            </w:r>
          </w:p>
        </w:tc>
      </w:tr>
      <w:tr w:rsidR="00E01216" w:rsidTr="006965E2">
        <w:trPr>
          <w:cantSplit/>
          <w:trHeight w:val="854"/>
        </w:trPr>
        <w:tc>
          <w:tcPr>
            <w:tcW w:w="709" w:type="dxa"/>
            <w:tcBorders>
              <w:right w:val="nil"/>
            </w:tcBorders>
            <w:shd w:val="clear" w:color="auto" w:fill="AACACE"/>
            <w:vAlign w:val="center"/>
          </w:tcPr>
          <w:p w:rsidR="00E01216" w:rsidRDefault="00E01216" w:rsidP="006965E2">
            <w:pPr>
              <w:pStyle w:val="Tablebodytext"/>
              <w:rPr>
                <w:lang w:val="en-AU"/>
              </w:rPr>
            </w:pPr>
            <w:r>
              <w:rPr>
                <w:lang w:val="en-AU"/>
              </w:rPr>
              <w:t>Q15</w:t>
            </w:r>
          </w:p>
        </w:tc>
        <w:tc>
          <w:tcPr>
            <w:tcW w:w="3827" w:type="dxa"/>
            <w:tcBorders>
              <w:left w:val="nil"/>
            </w:tcBorders>
            <w:shd w:val="clear" w:color="auto" w:fill="AACACE"/>
            <w:vAlign w:val="center"/>
          </w:tcPr>
          <w:p w:rsidR="00E01216" w:rsidRPr="000E5C60" w:rsidRDefault="00E01216" w:rsidP="006965E2">
            <w:pPr>
              <w:pStyle w:val="Tablebodytext"/>
              <w:rPr>
                <w:lang w:val="en-AU"/>
              </w:rPr>
            </w:pPr>
            <w:r w:rsidRPr="000E5C60">
              <w:rPr>
                <w:lang w:val="en-AU"/>
              </w:rPr>
              <w:t>Do you agree with this approach?  Why or why not?</w:t>
            </w:r>
          </w:p>
        </w:tc>
        <w:tc>
          <w:tcPr>
            <w:tcW w:w="8251" w:type="dxa"/>
            <w:vAlign w:val="center"/>
          </w:tcPr>
          <w:p w:rsidR="00E01216" w:rsidRDefault="00A91799" w:rsidP="006965E2">
            <w:pPr>
              <w:pStyle w:val="Tablebodytext"/>
            </w:pPr>
            <w:r>
              <w:t>W</w:t>
            </w:r>
            <w:r w:rsidR="00E01216">
              <w:t xml:space="preserve">e agree. </w:t>
            </w:r>
            <w:r>
              <w:t xml:space="preserve"> </w:t>
            </w:r>
            <w:r w:rsidR="00E01216">
              <w:t xml:space="preserve">We consider that the proposed approach </w:t>
            </w:r>
            <w:r w:rsidR="00D75DCC">
              <w:t>fairly balances the needs and expectations of retailers and customers.</w:t>
            </w:r>
            <w:r w:rsidR="00E01216">
              <w:t xml:space="preserve"> </w:t>
            </w:r>
          </w:p>
        </w:tc>
      </w:tr>
      <w:tr w:rsidR="00E01216" w:rsidTr="006965E2">
        <w:trPr>
          <w:cantSplit/>
          <w:trHeight w:val="854"/>
        </w:trPr>
        <w:tc>
          <w:tcPr>
            <w:tcW w:w="709" w:type="dxa"/>
            <w:tcBorders>
              <w:right w:val="nil"/>
            </w:tcBorders>
            <w:shd w:val="clear" w:color="auto" w:fill="AACACE"/>
            <w:vAlign w:val="center"/>
          </w:tcPr>
          <w:p w:rsidR="00E01216" w:rsidRDefault="00E01216" w:rsidP="006965E2">
            <w:pPr>
              <w:pStyle w:val="Tablebodytext"/>
              <w:rPr>
                <w:lang w:val="en-AU"/>
              </w:rPr>
            </w:pPr>
            <w:r>
              <w:rPr>
                <w:lang w:val="en-AU"/>
              </w:rPr>
              <w:t>Q16</w:t>
            </w:r>
          </w:p>
        </w:tc>
        <w:tc>
          <w:tcPr>
            <w:tcW w:w="3827" w:type="dxa"/>
            <w:tcBorders>
              <w:left w:val="nil"/>
            </w:tcBorders>
            <w:shd w:val="clear" w:color="auto" w:fill="AACACE"/>
            <w:vAlign w:val="center"/>
          </w:tcPr>
          <w:p w:rsidR="00E01216" w:rsidRPr="000E5C60" w:rsidRDefault="00E01216" w:rsidP="006965E2">
            <w:pPr>
              <w:pStyle w:val="Tablebodytext"/>
              <w:rPr>
                <w:lang w:val="en-AU"/>
              </w:rPr>
            </w:pPr>
            <w:r w:rsidRPr="000E5C60">
              <w:rPr>
                <w:lang w:val="en-AU"/>
              </w:rPr>
              <w:t xml:space="preserve">Do you agree that this is a </w:t>
            </w:r>
            <w:r>
              <w:rPr>
                <w:lang w:val="en-AU"/>
              </w:rPr>
              <w:t>r</w:t>
            </w:r>
            <w:r w:rsidRPr="000E5C60">
              <w:rPr>
                <w:lang w:val="en-AU"/>
              </w:rPr>
              <w:t>easonable approach to the transfer of large consumers?  If not, what alternative would you suggest?</w:t>
            </w:r>
          </w:p>
        </w:tc>
        <w:tc>
          <w:tcPr>
            <w:tcW w:w="8251" w:type="dxa"/>
            <w:vAlign w:val="center"/>
          </w:tcPr>
          <w:p w:rsidR="00E01216" w:rsidRDefault="00D75DCC" w:rsidP="006965E2">
            <w:pPr>
              <w:pStyle w:val="Tablebodytext"/>
            </w:pPr>
            <w:r>
              <w:t>We a</w:t>
            </w:r>
            <w:r w:rsidR="00E01216">
              <w:t xml:space="preserve">gree. </w:t>
            </w:r>
            <w:r>
              <w:t xml:space="preserve"> </w:t>
            </w:r>
            <w:r w:rsidR="00E01216">
              <w:t>However</w:t>
            </w:r>
            <w:r>
              <w:t>,</w:t>
            </w:r>
            <w:r w:rsidR="00E01216">
              <w:t xml:space="preserve"> we </w:t>
            </w:r>
            <w:r>
              <w:t>recommend</w:t>
            </w:r>
            <w:r w:rsidR="00E01216">
              <w:t xml:space="preserve"> that the GIC consider </w:t>
            </w:r>
            <w:r>
              <w:t>creating</w:t>
            </w:r>
            <w:r w:rsidR="00E01216">
              <w:t xml:space="preserve"> a back stop default arrangement that </w:t>
            </w:r>
            <w:r>
              <w:t>would be</w:t>
            </w:r>
            <w:r w:rsidR="00E01216">
              <w:t xml:space="preserve"> activated after a </w:t>
            </w:r>
            <w:r>
              <w:t xml:space="preserve">reasonable </w:t>
            </w:r>
            <w:r w:rsidR="00E01216">
              <w:t xml:space="preserve">period </w:t>
            </w:r>
            <w:r>
              <w:t>of time has elapsed,</w:t>
            </w:r>
            <w:r w:rsidR="00E01216">
              <w:t xml:space="preserve"> if the gaining retailer and customer have not agreed terms.  Th</w:t>
            </w:r>
            <w:r>
              <w:t>e back stop c</w:t>
            </w:r>
            <w:r w:rsidR="00E01216">
              <w:t xml:space="preserve">ould be as simple as defaulting to the </w:t>
            </w:r>
            <w:r>
              <w:t>standard terms applied to</w:t>
            </w:r>
            <w:r w:rsidR="00E01216">
              <w:t xml:space="preserve"> a similar sized consumer of the recipient retailer.  If the customer did not agree they could switch retailers.</w:t>
            </w:r>
          </w:p>
        </w:tc>
      </w:tr>
      <w:tr w:rsidR="00E01216" w:rsidTr="006965E2">
        <w:trPr>
          <w:cantSplit/>
          <w:trHeight w:val="854"/>
        </w:trPr>
        <w:tc>
          <w:tcPr>
            <w:tcW w:w="709" w:type="dxa"/>
            <w:tcBorders>
              <w:right w:val="nil"/>
            </w:tcBorders>
            <w:shd w:val="clear" w:color="auto" w:fill="AACACE"/>
            <w:vAlign w:val="center"/>
          </w:tcPr>
          <w:p w:rsidR="00E01216" w:rsidRDefault="00E01216" w:rsidP="006965E2">
            <w:pPr>
              <w:pStyle w:val="Tablebodytext"/>
              <w:rPr>
                <w:lang w:val="en-AU"/>
              </w:rPr>
            </w:pPr>
            <w:r>
              <w:rPr>
                <w:lang w:val="en-AU"/>
              </w:rPr>
              <w:t>Q17</w:t>
            </w:r>
          </w:p>
        </w:tc>
        <w:tc>
          <w:tcPr>
            <w:tcW w:w="3827" w:type="dxa"/>
            <w:tcBorders>
              <w:left w:val="nil"/>
            </w:tcBorders>
            <w:shd w:val="clear" w:color="auto" w:fill="AACACE"/>
            <w:vAlign w:val="center"/>
          </w:tcPr>
          <w:p w:rsidR="00E01216" w:rsidRPr="000E5C60" w:rsidRDefault="00E01216" w:rsidP="006965E2">
            <w:pPr>
              <w:pStyle w:val="Tablebodytext"/>
              <w:rPr>
                <w:lang w:val="en-AU"/>
              </w:rPr>
            </w:pPr>
            <w:r w:rsidRPr="000E5C60">
              <w:rPr>
                <w:lang w:val="en-AU"/>
              </w:rPr>
              <w:t>Do you have any comments on clauses 8-11 of the proposed Drafting Instructions?</w:t>
            </w:r>
          </w:p>
        </w:tc>
        <w:tc>
          <w:tcPr>
            <w:tcW w:w="8251" w:type="dxa"/>
            <w:vAlign w:val="center"/>
          </w:tcPr>
          <w:p w:rsidR="00E01216" w:rsidRDefault="00E01216" w:rsidP="006965E2">
            <w:pPr>
              <w:pStyle w:val="Tablebodytext"/>
            </w:pPr>
            <w:r>
              <w:t>We support the drafting instruction in these clauses.</w:t>
            </w:r>
          </w:p>
        </w:tc>
      </w:tr>
      <w:tr w:rsidR="00E01216" w:rsidTr="006965E2">
        <w:trPr>
          <w:cantSplit/>
          <w:trHeight w:val="854"/>
        </w:trPr>
        <w:tc>
          <w:tcPr>
            <w:tcW w:w="709" w:type="dxa"/>
            <w:tcBorders>
              <w:right w:val="nil"/>
            </w:tcBorders>
            <w:shd w:val="clear" w:color="auto" w:fill="AACACE"/>
            <w:vAlign w:val="center"/>
          </w:tcPr>
          <w:p w:rsidR="00E01216" w:rsidRDefault="00E01216" w:rsidP="006965E2">
            <w:pPr>
              <w:pStyle w:val="Tablebodytext"/>
              <w:rPr>
                <w:lang w:val="en-AU"/>
              </w:rPr>
            </w:pPr>
            <w:r>
              <w:rPr>
                <w:lang w:val="en-AU"/>
              </w:rPr>
              <w:lastRenderedPageBreak/>
              <w:t>Q18</w:t>
            </w:r>
          </w:p>
        </w:tc>
        <w:tc>
          <w:tcPr>
            <w:tcW w:w="3827" w:type="dxa"/>
            <w:tcBorders>
              <w:left w:val="nil"/>
            </w:tcBorders>
            <w:shd w:val="clear" w:color="auto" w:fill="AACACE"/>
            <w:vAlign w:val="center"/>
          </w:tcPr>
          <w:p w:rsidR="00E01216" w:rsidRPr="000E5C60" w:rsidRDefault="00E01216" w:rsidP="006965E2">
            <w:pPr>
              <w:pStyle w:val="Tablebodytext"/>
              <w:rPr>
                <w:lang w:val="en-AU"/>
              </w:rPr>
            </w:pPr>
            <w:r w:rsidRPr="000E5C60">
              <w:rPr>
                <w:lang w:val="en-AU"/>
              </w:rPr>
              <w:t>Do you have any comments on clause</w:t>
            </w:r>
            <w:r>
              <w:rPr>
                <w:lang w:val="en-AU"/>
              </w:rPr>
              <w:t xml:space="preserve"> </w:t>
            </w:r>
            <w:r w:rsidRPr="000E5C60">
              <w:rPr>
                <w:lang w:val="en-AU"/>
              </w:rPr>
              <w:t>1</w:t>
            </w:r>
            <w:r>
              <w:rPr>
                <w:lang w:val="en-AU"/>
              </w:rPr>
              <w:t>2</w:t>
            </w:r>
            <w:r w:rsidRPr="000E5C60">
              <w:rPr>
                <w:lang w:val="en-AU"/>
              </w:rPr>
              <w:t xml:space="preserve"> in the proposed drafting instructions?</w:t>
            </w:r>
          </w:p>
        </w:tc>
        <w:tc>
          <w:tcPr>
            <w:tcW w:w="8251" w:type="dxa"/>
            <w:vAlign w:val="center"/>
          </w:tcPr>
          <w:p w:rsidR="00E01216" w:rsidRDefault="00E01216" w:rsidP="006965E2">
            <w:pPr>
              <w:pStyle w:val="Tablebodytext"/>
            </w:pPr>
            <w:r>
              <w:t>We agree that the GIC’s proposed drafting of clause 12 addresses this issue adequately.</w:t>
            </w:r>
          </w:p>
        </w:tc>
      </w:tr>
      <w:tr w:rsidR="00E01216" w:rsidTr="006965E2">
        <w:trPr>
          <w:cantSplit/>
          <w:trHeight w:val="854"/>
        </w:trPr>
        <w:tc>
          <w:tcPr>
            <w:tcW w:w="709" w:type="dxa"/>
            <w:tcBorders>
              <w:right w:val="nil"/>
            </w:tcBorders>
            <w:shd w:val="clear" w:color="auto" w:fill="AACACE"/>
            <w:vAlign w:val="center"/>
          </w:tcPr>
          <w:p w:rsidR="00E01216" w:rsidRDefault="00E01216" w:rsidP="006965E2">
            <w:pPr>
              <w:pStyle w:val="Tablebodytext"/>
              <w:rPr>
                <w:lang w:val="en-AU"/>
              </w:rPr>
            </w:pPr>
            <w:r>
              <w:rPr>
                <w:lang w:val="en-AU"/>
              </w:rPr>
              <w:t>Q19</w:t>
            </w:r>
          </w:p>
        </w:tc>
        <w:tc>
          <w:tcPr>
            <w:tcW w:w="3827" w:type="dxa"/>
            <w:tcBorders>
              <w:left w:val="nil"/>
            </w:tcBorders>
            <w:shd w:val="clear" w:color="auto" w:fill="AACACE"/>
            <w:vAlign w:val="center"/>
          </w:tcPr>
          <w:p w:rsidR="00E01216" w:rsidRPr="000E5C60" w:rsidRDefault="00E01216" w:rsidP="006965E2">
            <w:pPr>
              <w:pStyle w:val="Tablebodytext"/>
              <w:rPr>
                <w:lang w:val="en-AU"/>
              </w:rPr>
            </w:pPr>
            <w:r w:rsidRPr="000E5C60">
              <w:rPr>
                <w:lang w:val="en-AU"/>
              </w:rPr>
              <w:t>Do you agree with the proposal in clause 1</w:t>
            </w:r>
            <w:r>
              <w:rPr>
                <w:lang w:val="en-AU"/>
              </w:rPr>
              <w:t>3</w:t>
            </w:r>
            <w:r w:rsidRPr="000E5C60">
              <w:rPr>
                <w:lang w:val="en-AU"/>
              </w:rPr>
              <w:t xml:space="preserve"> of the proposed drafting instructions?</w:t>
            </w:r>
          </w:p>
        </w:tc>
        <w:tc>
          <w:tcPr>
            <w:tcW w:w="8251" w:type="dxa"/>
            <w:vAlign w:val="center"/>
          </w:tcPr>
          <w:p w:rsidR="00E01216" w:rsidRDefault="00E01216" w:rsidP="006965E2">
            <w:pPr>
              <w:pStyle w:val="Tablebodytext"/>
            </w:pPr>
            <w:r>
              <w:t xml:space="preserve">Yes, this </w:t>
            </w:r>
            <w:r w:rsidR="009153C6">
              <w:t xml:space="preserve">is </w:t>
            </w:r>
            <w:r>
              <w:t>a</w:t>
            </w:r>
            <w:r w:rsidR="009153C6">
              <w:t>n</w:t>
            </w:r>
            <w:r>
              <w:t xml:space="preserve"> appropriate and fair mechanism to </w:t>
            </w:r>
            <w:r w:rsidR="009153C6">
              <w:t>deal with</w:t>
            </w:r>
            <w:r>
              <w:t xml:space="preserve"> a real issue.  The net capacity demand will not change </w:t>
            </w:r>
            <w:r w:rsidR="009153C6">
              <w:rPr>
                <w:rFonts w:ascii="Corbel" w:hAnsi="Corbel"/>
              </w:rPr>
              <w:t>–</w:t>
            </w:r>
            <w:r w:rsidR="009153C6">
              <w:t xml:space="preserve"> </w:t>
            </w:r>
            <w:r>
              <w:t xml:space="preserve">it is </w:t>
            </w:r>
            <w:r w:rsidR="009153C6">
              <w:t>simply</w:t>
            </w:r>
            <w:r>
              <w:t xml:space="preserve"> a reallocation that will be washed up in the subsequent gas year.</w:t>
            </w:r>
          </w:p>
        </w:tc>
      </w:tr>
      <w:tr w:rsidR="00E01216" w:rsidTr="006965E2">
        <w:trPr>
          <w:cantSplit/>
          <w:trHeight w:val="854"/>
        </w:trPr>
        <w:tc>
          <w:tcPr>
            <w:tcW w:w="709" w:type="dxa"/>
            <w:tcBorders>
              <w:right w:val="nil"/>
            </w:tcBorders>
            <w:shd w:val="clear" w:color="auto" w:fill="AACACE"/>
            <w:vAlign w:val="center"/>
          </w:tcPr>
          <w:p w:rsidR="00E01216" w:rsidRDefault="00E01216" w:rsidP="006965E2">
            <w:pPr>
              <w:pStyle w:val="Tablebodytext"/>
              <w:rPr>
                <w:lang w:val="en-AU"/>
              </w:rPr>
            </w:pPr>
            <w:r>
              <w:rPr>
                <w:lang w:val="en-AU"/>
              </w:rPr>
              <w:t>Q20</w:t>
            </w:r>
          </w:p>
        </w:tc>
        <w:tc>
          <w:tcPr>
            <w:tcW w:w="3827" w:type="dxa"/>
            <w:tcBorders>
              <w:left w:val="nil"/>
            </w:tcBorders>
            <w:shd w:val="clear" w:color="auto" w:fill="AACACE"/>
            <w:vAlign w:val="center"/>
          </w:tcPr>
          <w:p w:rsidR="00E01216" w:rsidRPr="000E5C60" w:rsidRDefault="00E01216" w:rsidP="006965E2">
            <w:pPr>
              <w:pStyle w:val="Tablebodytext"/>
              <w:rPr>
                <w:lang w:val="en-AU"/>
              </w:rPr>
            </w:pPr>
            <w:r w:rsidRPr="000E5C60">
              <w:rPr>
                <w:lang w:val="en-AU"/>
              </w:rPr>
              <w:t>Do you agree with this proposal?  Why or why not?</w:t>
            </w:r>
          </w:p>
        </w:tc>
        <w:tc>
          <w:tcPr>
            <w:tcW w:w="8251" w:type="dxa"/>
            <w:vAlign w:val="center"/>
          </w:tcPr>
          <w:p w:rsidR="00E01216" w:rsidRDefault="00E01216" w:rsidP="006965E2">
            <w:pPr>
              <w:pStyle w:val="Tablebodytext"/>
            </w:pPr>
            <w:r>
              <w:t>Yes</w:t>
            </w:r>
            <w:r w:rsidR="009153C6">
              <w:t>,</w:t>
            </w:r>
            <w:r>
              <w:t xml:space="preserve"> we agree with the proposal.  It provides </w:t>
            </w:r>
            <w:r w:rsidR="009153C6">
              <w:t>genuine</w:t>
            </w:r>
            <w:r>
              <w:t xml:space="preserve"> clarity should such an event occur and </w:t>
            </w:r>
            <w:r w:rsidR="009153C6">
              <w:t>it does not create</w:t>
            </w:r>
            <w:r>
              <w:t xml:space="preserve"> any onerous or unrealistic requirements </w:t>
            </w:r>
            <w:r w:rsidR="009153C6">
              <w:t>for</w:t>
            </w:r>
            <w:r>
              <w:t xml:space="preserve"> a retailer that ceases trading.</w:t>
            </w:r>
          </w:p>
        </w:tc>
      </w:tr>
      <w:tr w:rsidR="00E01216" w:rsidTr="006965E2">
        <w:trPr>
          <w:cantSplit/>
          <w:trHeight w:val="854"/>
        </w:trPr>
        <w:tc>
          <w:tcPr>
            <w:tcW w:w="709" w:type="dxa"/>
            <w:tcBorders>
              <w:right w:val="nil"/>
            </w:tcBorders>
            <w:shd w:val="clear" w:color="auto" w:fill="AACACE"/>
            <w:vAlign w:val="center"/>
          </w:tcPr>
          <w:p w:rsidR="00E01216" w:rsidRDefault="00E01216" w:rsidP="006965E2">
            <w:pPr>
              <w:pStyle w:val="Tablebodytext"/>
              <w:rPr>
                <w:lang w:val="en-AU"/>
              </w:rPr>
            </w:pPr>
            <w:r>
              <w:rPr>
                <w:lang w:val="en-AU"/>
              </w:rPr>
              <w:t>Q21</w:t>
            </w:r>
          </w:p>
        </w:tc>
        <w:tc>
          <w:tcPr>
            <w:tcW w:w="3827" w:type="dxa"/>
            <w:tcBorders>
              <w:left w:val="nil"/>
            </w:tcBorders>
            <w:shd w:val="clear" w:color="auto" w:fill="AACACE"/>
            <w:vAlign w:val="center"/>
          </w:tcPr>
          <w:p w:rsidR="00E01216" w:rsidRPr="000E5C60" w:rsidRDefault="00E01216" w:rsidP="006965E2">
            <w:pPr>
              <w:pStyle w:val="Tablebodytext"/>
              <w:rPr>
                <w:lang w:val="en-AU"/>
              </w:rPr>
            </w:pPr>
            <w:r w:rsidRPr="000E5C60">
              <w:rPr>
                <w:lang w:val="en-AU"/>
              </w:rPr>
              <w:t>Do you agree that the change is minor and will not adversely affect the interest of any person in a substantial way?</w:t>
            </w:r>
          </w:p>
        </w:tc>
        <w:tc>
          <w:tcPr>
            <w:tcW w:w="8251" w:type="dxa"/>
            <w:vAlign w:val="center"/>
          </w:tcPr>
          <w:p w:rsidR="00E01216" w:rsidRDefault="00E01216" w:rsidP="006965E2">
            <w:pPr>
              <w:pStyle w:val="Tablebodytext"/>
            </w:pPr>
            <w:r>
              <w:t>We agree that the proposed changes are minor and do</w:t>
            </w:r>
            <w:r w:rsidR="009153C6">
              <w:t xml:space="preserve"> not</w:t>
            </w:r>
            <w:r>
              <w:t xml:space="preserve"> adversely affect any person in a substantial way.</w:t>
            </w:r>
          </w:p>
        </w:tc>
      </w:tr>
    </w:tbl>
    <w:p w:rsidR="00E01216" w:rsidRDefault="00E01216" w:rsidP="00E01216">
      <w:pPr>
        <w:pStyle w:val="BodyText"/>
      </w:pPr>
    </w:p>
    <w:p w:rsidR="00E01216" w:rsidRDefault="00E01216" w:rsidP="00E01216">
      <w:pPr>
        <w:pStyle w:val="BodyText"/>
      </w:pPr>
    </w:p>
    <w:p w:rsidR="00E01216" w:rsidRDefault="00E01216" w:rsidP="00E01216"/>
    <w:p w:rsidR="00606FA9" w:rsidRPr="00CC37AE" w:rsidRDefault="00606FA9" w:rsidP="00E01216">
      <w:pPr>
        <w:pStyle w:val="BodyText"/>
      </w:pPr>
    </w:p>
    <w:sectPr w:rsidR="00606FA9" w:rsidRPr="00CC37AE" w:rsidSect="006965E2">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675" w:rsidRDefault="006C5675">
      <w:r>
        <w:separator/>
      </w:r>
    </w:p>
  </w:endnote>
  <w:endnote w:type="continuationSeparator" w:id="0">
    <w:p w:rsidR="006C5675" w:rsidRDefault="006C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Frutiger LT 45 Light">
    <w:altName w:val="Corbel"/>
    <w:charset w:val="00"/>
    <w:family w:val="swiss"/>
    <w:pitch w:val="variable"/>
    <w:sig w:usb0="80000027"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799" w:rsidRPr="008432E1" w:rsidRDefault="00A91799" w:rsidP="006965E2">
    <w:pPr>
      <w:pStyle w:val="zFooterEvenPortrait"/>
    </w:pPr>
    <w:r>
      <w:fldChar w:fldCharType="begin"/>
    </w:r>
    <w:r>
      <w:instrText xml:space="preserve"> PAGE </w:instrText>
    </w:r>
    <w:r>
      <w:fldChar w:fldCharType="separate"/>
    </w:r>
    <w:r>
      <w:rPr>
        <w:noProof/>
      </w:rPr>
      <w:t>8</w:t>
    </w:r>
    <w:r>
      <w:rPr>
        <w:noProof/>
      </w:rPr>
      <w:fldChar w:fldCharType="end"/>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799" w:rsidRPr="008432E1" w:rsidRDefault="00A91799" w:rsidP="006965E2">
    <w:pPr>
      <w:pStyle w:val="zFooterOddPortrait"/>
    </w:pPr>
    <w:r>
      <w:tab/>
    </w:r>
    <w:r>
      <w:fldChar w:fldCharType="begin"/>
    </w:r>
    <w:r>
      <w:instrText xml:space="preserve"> PAGE </w:instrText>
    </w:r>
    <w:r>
      <w:fldChar w:fldCharType="separate"/>
    </w:r>
    <w:r w:rsidR="007F5E7E">
      <w:rPr>
        <w:noProof/>
      </w:rPr>
      <w:t>3</w:t>
    </w:r>
    <w:r>
      <w:rPr>
        <w:noProof/>
      </w:rPr>
      <w:fldChar w:fldCharType="end"/>
    </w:r>
  </w:p>
  <w:p w:rsidR="00A91799" w:rsidRPr="008432E1" w:rsidRDefault="00A91799" w:rsidP="006965E2">
    <w:pPr>
      <w:pStyle w:val="zFooterOddPortrai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799" w:rsidRDefault="00A91799" w:rsidP="006965E2">
    <w:pPr>
      <w:pStyle w:val="zFooterOddPortrait"/>
    </w:pPr>
  </w:p>
  <w:p w:rsidR="00A91799" w:rsidRDefault="00A91799" w:rsidP="006965E2">
    <w:pPr>
      <w:pStyle w:val="zFooterOddPortrai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675" w:rsidRDefault="006C5675">
      <w:r>
        <w:separator/>
      </w:r>
    </w:p>
  </w:footnote>
  <w:footnote w:type="continuationSeparator" w:id="0">
    <w:p w:rsidR="006C5675" w:rsidRDefault="006C56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799" w:rsidRDefault="00A91799">
    <w:pPr>
      <w:pStyle w:val="Footer"/>
    </w:pPr>
    <w:r>
      <w:rPr>
        <w:noProof/>
        <w:lang w:val="en-GB" w:eastAsia="en-GB"/>
      </w:rPr>
      <w:drawing>
        <wp:anchor distT="0" distB="0" distL="114300" distR="114300" simplePos="0" relativeHeight="251657728" behindDoc="0" locked="0" layoutInCell="0" allowOverlap="1" wp14:anchorId="15958D92" wp14:editId="2564D5D5">
          <wp:simplePos x="0" y="0"/>
          <wp:positionH relativeFrom="page">
            <wp:posOffset>91440</wp:posOffset>
          </wp:positionH>
          <wp:positionV relativeFrom="page">
            <wp:posOffset>503555</wp:posOffset>
          </wp:positionV>
          <wp:extent cx="7498080" cy="3562350"/>
          <wp:effectExtent l="0" t="0" r="7620" b="0"/>
          <wp:wrapNone/>
          <wp:docPr id="3" name="Picture 3" descr="::::PcoCorporate L/Hea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coCorporate L/Head.TIF"/>
                  <pic:cNvPicPr>
                    <a:picLocks noChangeAspect="1" noChangeArrowheads="1"/>
                  </pic:cNvPicPr>
                </pic:nvPicPr>
                <pic:blipFill>
                  <a:blip r:embed="rId1">
                    <a:extLst>
                      <a:ext uri="{28A0092B-C50C-407E-A947-70E740481C1C}">
                        <a14:useLocalDpi xmlns:a14="http://schemas.microsoft.com/office/drawing/2010/main" val="0"/>
                      </a:ext>
                    </a:extLst>
                  </a:blip>
                  <a:srcRect t="4364" b="62042"/>
                  <a:stretch>
                    <a:fillRect/>
                  </a:stretch>
                </pic:blipFill>
                <pic:spPr bwMode="auto">
                  <a:xfrm>
                    <a:off x="0" y="0"/>
                    <a:ext cx="7498080" cy="3562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799" w:rsidRDefault="00A91799">
    <w:pPr>
      <w:pStyle w:val="zHeaderEven"/>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799" w:rsidRDefault="00A91799">
    <w:pPr>
      <w:pStyle w:val="zHeaderOd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799" w:rsidRDefault="00A91799">
    <w:pPr>
      <w:pStyle w:val="zHeaderOdd"/>
    </w:pPr>
    <w:r>
      <w:rPr>
        <w:noProof/>
        <w:sz w:val="22"/>
        <w:lang w:val="en-GB" w:eastAsia="en-GB"/>
      </w:rPr>
      <mc:AlternateContent>
        <mc:Choice Requires="wps">
          <w:drawing>
            <wp:anchor distT="0" distB="0" distL="114300" distR="114300" simplePos="0" relativeHeight="251659776" behindDoc="1" locked="0" layoutInCell="1" allowOverlap="1" wp14:anchorId="452E0B38" wp14:editId="12713FE2">
              <wp:simplePos x="0" y="0"/>
              <wp:positionH relativeFrom="page">
                <wp:align>center</wp:align>
              </wp:positionH>
              <wp:positionV relativeFrom="page">
                <wp:align>center</wp:align>
              </wp:positionV>
              <wp:extent cx="4663440" cy="3108960"/>
              <wp:effectExtent l="0" t="0" r="0" b="0"/>
              <wp:wrapNone/>
              <wp:docPr id="4"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63440" cy="310896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A91799" w:rsidRDefault="00A91799" w:rsidP="006965E2">
                          <w:pPr>
                            <w:pStyle w:val="NormalWeb"/>
                            <w:spacing w:before="0" w:beforeAutospacing="0" w:after="0" w:afterAutospacing="0"/>
                            <w:jc w:val="center"/>
                          </w:pPr>
                          <w:r>
                            <w:rPr>
                              <w:rFonts w:ascii="Arial Black" w:hAnsi="Arial Black"/>
                              <w:color w:val="C0C0C0"/>
                              <w:sz w:val="72"/>
                              <w:szCs w:val="72"/>
                            </w:rPr>
                            <w:t>Draft</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8" o:spid="_x0000_s1026" type="#_x0000_t202" style="position:absolute;left:0;text-align:left;margin-left:0;margin-top:0;width:367.2pt;height:244.8pt;z-index:-25165670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" filled="f" stroked="f">
              <v:stroke joinstyle="round"/>
              <o:lock v:ext="edit" text="t" shapetype="t"/>
              <v:textbox style="mso-fit-shape-to-text:t">
                <w:txbxContent>
                  <w:p w:rsidR="00A91799" w:rsidRDefault="00A91799" w:rsidP="006965E2">
                    <w:pPr>
                      <w:pStyle w:val="NormalWeb"/>
                      <w:spacing w:before="0" w:beforeAutospacing="0" w:after="0" w:afterAutospacing="0"/>
                      <w:jc w:val="center"/>
                    </w:pPr>
                    <w:r>
                      <w:rPr>
                        <w:rFonts w:ascii="Arial Black" w:hAnsi="Arial Black"/>
                        <w:color w:val="C0C0C0"/>
                        <w:sz w:val="72"/>
                        <w:szCs w:val="72"/>
                      </w:rPr>
                      <w:t>Draft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6A7AFD"/>
    <w:multiLevelType w:val="hybridMultilevel"/>
    <w:tmpl w:val="FCCEF91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4AFF5DFB"/>
    <w:multiLevelType w:val="hybridMultilevel"/>
    <w:tmpl w:val="480C863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6B2071F6"/>
    <w:multiLevelType w:val="hybridMultilevel"/>
    <w:tmpl w:val="737A90A2"/>
    <w:lvl w:ilvl="0" w:tplc="06544228">
      <w:start w:val="1"/>
      <w:numFmt w:val="decimal"/>
      <w:lvlText w:val="%1."/>
      <w:lvlJc w:val="left"/>
      <w:pPr>
        <w:ind w:left="644" w:hanging="360"/>
      </w:pPr>
      <w:rPr>
        <w:rFonts w:ascii="Arial" w:hAnsi="Arial" w:cs="Arial" w:hint="default"/>
        <w:i w:val="0"/>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71713A2A"/>
    <w:multiLevelType w:val="hybridMultilevel"/>
    <w:tmpl w:val="53C2A716"/>
    <w:lvl w:ilvl="0" w:tplc="06544228">
      <w:start w:val="1"/>
      <w:numFmt w:val="decimal"/>
      <w:lvlText w:val="%1."/>
      <w:lvlJc w:val="left"/>
      <w:pPr>
        <w:ind w:left="644" w:hanging="360"/>
      </w:pPr>
      <w:rPr>
        <w:rFonts w:ascii="Arial" w:hAnsi="Arial" w:cs="Arial" w:hint="default"/>
        <w:i w:val="0"/>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788"/>
    <w:rsid w:val="00065788"/>
    <w:rsid w:val="0008259B"/>
    <w:rsid w:val="000A7012"/>
    <w:rsid w:val="000B114D"/>
    <w:rsid w:val="000C1E28"/>
    <w:rsid w:val="000C5BD2"/>
    <w:rsid w:val="000D1852"/>
    <w:rsid w:val="00126A4B"/>
    <w:rsid w:val="00130908"/>
    <w:rsid w:val="00167D24"/>
    <w:rsid w:val="001726E2"/>
    <w:rsid w:val="001E5BFB"/>
    <w:rsid w:val="001F3300"/>
    <w:rsid w:val="002128E4"/>
    <w:rsid w:val="00252C9D"/>
    <w:rsid w:val="002533B1"/>
    <w:rsid w:val="002646B2"/>
    <w:rsid w:val="0026667B"/>
    <w:rsid w:val="00271406"/>
    <w:rsid w:val="002A0642"/>
    <w:rsid w:val="002B3FFD"/>
    <w:rsid w:val="002B52D9"/>
    <w:rsid w:val="002F57A1"/>
    <w:rsid w:val="00307E52"/>
    <w:rsid w:val="0031283B"/>
    <w:rsid w:val="0038536E"/>
    <w:rsid w:val="00385B33"/>
    <w:rsid w:val="003B0251"/>
    <w:rsid w:val="003C26A5"/>
    <w:rsid w:val="0042189D"/>
    <w:rsid w:val="00442816"/>
    <w:rsid w:val="004543D9"/>
    <w:rsid w:val="00462CDF"/>
    <w:rsid w:val="0047000A"/>
    <w:rsid w:val="00487F27"/>
    <w:rsid w:val="004966D2"/>
    <w:rsid w:val="004B0E3B"/>
    <w:rsid w:val="004C7B1B"/>
    <w:rsid w:val="004D0BDB"/>
    <w:rsid w:val="004D3B59"/>
    <w:rsid w:val="004E52E8"/>
    <w:rsid w:val="004E5A6F"/>
    <w:rsid w:val="0053004D"/>
    <w:rsid w:val="00537DA1"/>
    <w:rsid w:val="00551070"/>
    <w:rsid w:val="0055407F"/>
    <w:rsid w:val="00562451"/>
    <w:rsid w:val="00564798"/>
    <w:rsid w:val="005751E3"/>
    <w:rsid w:val="005A677A"/>
    <w:rsid w:val="005B5D3C"/>
    <w:rsid w:val="005B5FBC"/>
    <w:rsid w:val="005C25DA"/>
    <w:rsid w:val="005C26B6"/>
    <w:rsid w:val="005C4085"/>
    <w:rsid w:val="005C42CB"/>
    <w:rsid w:val="00606FA9"/>
    <w:rsid w:val="00635B3D"/>
    <w:rsid w:val="00672AF6"/>
    <w:rsid w:val="006753EF"/>
    <w:rsid w:val="006965E2"/>
    <w:rsid w:val="006C5675"/>
    <w:rsid w:val="006E2E1C"/>
    <w:rsid w:val="006E77B5"/>
    <w:rsid w:val="00774F36"/>
    <w:rsid w:val="00782459"/>
    <w:rsid w:val="007A5756"/>
    <w:rsid w:val="007B7BCD"/>
    <w:rsid w:val="007F5E7E"/>
    <w:rsid w:val="00801F4C"/>
    <w:rsid w:val="00821948"/>
    <w:rsid w:val="00822A11"/>
    <w:rsid w:val="00822CFF"/>
    <w:rsid w:val="0083297F"/>
    <w:rsid w:val="008811E0"/>
    <w:rsid w:val="0089205E"/>
    <w:rsid w:val="00897AC4"/>
    <w:rsid w:val="008C150A"/>
    <w:rsid w:val="009153C6"/>
    <w:rsid w:val="00926FFF"/>
    <w:rsid w:val="009333F3"/>
    <w:rsid w:val="009417A3"/>
    <w:rsid w:val="009460F2"/>
    <w:rsid w:val="00953C6D"/>
    <w:rsid w:val="00953DCD"/>
    <w:rsid w:val="00961B12"/>
    <w:rsid w:val="00985939"/>
    <w:rsid w:val="009F7569"/>
    <w:rsid w:val="00A07708"/>
    <w:rsid w:val="00A11CD0"/>
    <w:rsid w:val="00A25C72"/>
    <w:rsid w:val="00A66E1D"/>
    <w:rsid w:val="00A7149B"/>
    <w:rsid w:val="00A851EE"/>
    <w:rsid w:val="00A90CC0"/>
    <w:rsid w:val="00A91799"/>
    <w:rsid w:val="00A96167"/>
    <w:rsid w:val="00AA4585"/>
    <w:rsid w:val="00AC07AF"/>
    <w:rsid w:val="00AC6EE2"/>
    <w:rsid w:val="00AD7B21"/>
    <w:rsid w:val="00B47BCE"/>
    <w:rsid w:val="00B80CCC"/>
    <w:rsid w:val="00B80E79"/>
    <w:rsid w:val="00B81E2F"/>
    <w:rsid w:val="00B82A4D"/>
    <w:rsid w:val="00BC204C"/>
    <w:rsid w:val="00BE08C0"/>
    <w:rsid w:val="00C0150D"/>
    <w:rsid w:val="00C555F9"/>
    <w:rsid w:val="00C67C2D"/>
    <w:rsid w:val="00C91884"/>
    <w:rsid w:val="00C94FD9"/>
    <w:rsid w:val="00CC37AE"/>
    <w:rsid w:val="00CC5B21"/>
    <w:rsid w:val="00CE5C41"/>
    <w:rsid w:val="00CF2D98"/>
    <w:rsid w:val="00D02121"/>
    <w:rsid w:val="00D02663"/>
    <w:rsid w:val="00D27F64"/>
    <w:rsid w:val="00D35276"/>
    <w:rsid w:val="00D55CE7"/>
    <w:rsid w:val="00D65F88"/>
    <w:rsid w:val="00D75DCC"/>
    <w:rsid w:val="00DC026A"/>
    <w:rsid w:val="00DD4E52"/>
    <w:rsid w:val="00DE19B0"/>
    <w:rsid w:val="00E01216"/>
    <w:rsid w:val="00E1122C"/>
    <w:rsid w:val="00E23648"/>
    <w:rsid w:val="00E33FA3"/>
    <w:rsid w:val="00E61071"/>
    <w:rsid w:val="00E6156C"/>
    <w:rsid w:val="00E727CD"/>
    <w:rsid w:val="00E76D94"/>
    <w:rsid w:val="00E97C1C"/>
    <w:rsid w:val="00EC2C41"/>
    <w:rsid w:val="00F4701D"/>
    <w:rsid w:val="00F63146"/>
    <w:rsid w:val="00F87832"/>
    <w:rsid w:val="00FA0935"/>
    <w:rsid w:val="00FC2949"/>
    <w:rsid w:val="00FF787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14"/>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lang w:eastAsia="en-US"/>
    </w:rPr>
  </w:style>
  <w:style w:type="paragraph" w:styleId="Heading1">
    <w:name w:val="heading 1"/>
    <w:basedOn w:val="BodyText"/>
    <w:next w:val="BodyText"/>
    <w:link w:val="Heading1Char"/>
    <w:qFormat/>
    <w:rsid w:val="00E01216"/>
    <w:pPr>
      <w:keepNext/>
      <w:pBdr>
        <w:bottom w:val="single" w:sz="8" w:space="5" w:color="auto"/>
      </w:pBdr>
      <w:spacing w:before="240" w:after="60" w:line="400" w:lineRule="atLeast"/>
      <w:outlineLvl w:val="0"/>
    </w:pPr>
    <w:rPr>
      <w:rFonts w:cs="Arial"/>
      <w:b/>
      <w:bCs/>
      <w:color w:val="333333"/>
      <w:kern w:val="32"/>
      <w:sz w:val="4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right" w:pos="8306"/>
      </w:tabs>
    </w:pPr>
    <w:rPr>
      <w:sz w:val="18"/>
    </w:rPr>
  </w:style>
  <w:style w:type="paragraph" w:styleId="Footer">
    <w:name w:val="footer"/>
    <w:basedOn w:val="Normal"/>
    <w:link w:val="FooterChar"/>
    <w:uiPriority w:val="99"/>
    <w:pPr>
      <w:tabs>
        <w:tab w:val="right" w:pos="8306"/>
      </w:tabs>
    </w:pPr>
    <w:rPr>
      <w:sz w:val="18"/>
    </w:rPr>
  </w:style>
  <w:style w:type="character" w:styleId="CommentReference">
    <w:name w:val="annotation reference"/>
    <w:basedOn w:val="DefaultParagraphFont"/>
    <w:semiHidden/>
    <w:rsid w:val="00065788"/>
    <w:rPr>
      <w:sz w:val="16"/>
      <w:szCs w:val="16"/>
    </w:rPr>
  </w:style>
  <w:style w:type="paragraph" w:styleId="CommentText">
    <w:name w:val="annotation text"/>
    <w:basedOn w:val="Normal"/>
    <w:link w:val="CommentTextChar"/>
    <w:semiHidden/>
    <w:rsid w:val="00065788"/>
    <w:rPr>
      <w:sz w:val="20"/>
    </w:rPr>
  </w:style>
  <w:style w:type="character" w:customStyle="1" w:styleId="CommentTextChar">
    <w:name w:val="Comment Text Char"/>
    <w:basedOn w:val="DefaultParagraphFont"/>
    <w:link w:val="CommentText"/>
    <w:semiHidden/>
    <w:rsid w:val="00065788"/>
    <w:rPr>
      <w:rFonts w:ascii="Arial" w:hAnsi="Arial"/>
      <w:lang w:eastAsia="en-US"/>
    </w:rPr>
  </w:style>
  <w:style w:type="paragraph" w:styleId="FootnoteText">
    <w:name w:val="footnote text"/>
    <w:basedOn w:val="Normal"/>
    <w:link w:val="FootnoteTextChar"/>
    <w:semiHidden/>
    <w:rsid w:val="00065788"/>
    <w:rPr>
      <w:sz w:val="20"/>
    </w:rPr>
  </w:style>
  <w:style w:type="character" w:customStyle="1" w:styleId="FootnoteTextChar">
    <w:name w:val="Footnote Text Char"/>
    <w:basedOn w:val="DefaultParagraphFont"/>
    <w:link w:val="FootnoteText"/>
    <w:semiHidden/>
    <w:rsid w:val="00065788"/>
    <w:rPr>
      <w:rFonts w:ascii="Arial" w:hAnsi="Arial"/>
      <w:lang w:eastAsia="en-US"/>
    </w:rPr>
  </w:style>
  <w:style w:type="character" w:styleId="FootnoteReference">
    <w:name w:val="footnote reference"/>
    <w:basedOn w:val="DefaultParagraphFont"/>
    <w:semiHidden/>
    <w:rsid w:val="00065788"/>
    <w:rPr>
      <w:vertAlign w:val="superscript"/>
    </w:rPr>
  </w:style>
  <w:style w:type="paragraph" w:styleId="ListParagraph">
    <w:name w:val="List Paragraph"/>
    <w:basedOn w:val="Normal"/>
    <w:uiPriority w:val="34"/>
    <w:qFormat/>
    <w:rsid w:val="00065788"/>
    <w:pPr>
      <w:spacing w:after="200" w:line="276" w:lineRule="auto"/>
      <w:ind w:left="720"/>
    </w:pPr>
    <w:rPr>
      <w:rFonts w:ascii="Calibri" w:eastAsia="Calibri" w:hAnsi="Calibri"/>
      <w:szCs w:val="22"/>
    </w:rPr>
  </w:style>
  <w:style w:type="paragraph" w:styleId="BalloonText">
    <w:name w:val="Balloon Text"/>
    <w:basedOn w:val="Normal"/>
    <w:link w:val="BalloonTextChar"/>
    <w:uiPriority w:val="99"/>
    <w:semiHidden/>
    <w:unhideWhenUsed/>
    <w:rsid w:val="00065788"/>
    <w:rPr>
      <w:rFonts w:ascii="Tahoma" w:hAnsi="Tahoma" w:cs="Tahoma"/>
      <w:sz w:val="16"/>
      <w:szCs w:val="16"/>
    </w:rPr>
  </w:style>
  <w:style w:type="character" w:customStyle="1" w:styleId="BalloonTextChar">
    <w:name w:val="Balloon Text Char"/>
    <w:basedOn w:val="DefaultParagraphFont"/>
    <w:link w:val="BalloonText"/>
    <w:uiPriority w:val="99"/>
    <w:semiHidden/>
    <w:rsid w:val="00065788"/>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5751E3"/>
    <w:rPr>
      <w:b/>
      <w:bCs/>
    </w:rPr>
  </w:style>
  <w:style w:type="character" w:customStyle="1" w:styleId="CommentSubjectChar">
    <w:name w:val="Comment Subject Char"/>
    <w:basedOn w:val="CommentTextChar"/>
    <w:link w:val="CommentSubject"/>
    <w:uiPriority w:val="99"/>
    <w:semiHidden/>
    <w:rsid w:val="005751E3"/>
    <w:rPr>
      <w:rFonts w:ascii="Arial" w:hAnsi="Arial"/>
      <w:b/>
      <w:bCs/>
      <w:lang w:eastAsia="en-US"/>
    </w:rPr>
  </w:style>
  <w:style w:type="paragraph" w:styleId="BodyText">
    <w:name w:val="Body Text"/>
    <w:basedOn w:val="Normal"/>
    <w:link w:val="BodyTextChar"/>
    <w:uiPriority w:val="99"/>
    <w:rsid w:val="00606FA9"/>
    <w:pPr>
      <w:spacing w:after="240" w:line="320" w:lineRule="atLeast"/>
    </w:pPr>
    <w:rPr>
      <w:rFonts w:ascii="Frutiger LT 45 Light" w:hAnsi="Frutiger LT 45 Light"/>
      <w:lang w:eastAsia="en-GB"/>
    </w:rPr>
  </w:style>
  <w:style w:type="character" w:customStyle="1" w:styleId="BodyTextChar">
    <w:name w:val="Body Text Char"/>
    <w:basedOn w:val="DefaultParagraphFont"/>
    <w:link w:val="BodyText"/>
    <w:uiPriority w:val="99"/>
    <w:rsid w:val="00606FA9"/>
    <w:rPr>
      <w:rFonts w:ascii="Frutiger LT 45 Light" w:hAnsi="Frutiger LT 45 Light"/>
      <w:sz w:val="22"/>
      <w:lang w:eastAsia="en-GB"/>
    </w:rPr>
  </w:style>
  <w:style w:type="paragraph" w:customStyle="1" w:styleId="Tablebodytext">
    <w:name w:val="Table body text"/>
    <w:basedOn w:val="BodyText"/>
    <w:link w:val="TablebodytextChar"/>
    <w:rsid w:val="00606FA9"/>
    <w:pPr>
      <w:spacing w:before="60" w:after="60" w:line="240" w:lineRule="atLeast"/>
    </w:pPr>
    <w:rPr>
      <w:sz w:val="20"/>
    </w:rPr>
  </w:style>
  <w:style w:type="paragraph" w:customStyle="1" w:styleId="Tableheading">
    <w:name w:val="Table heading"/>
    <w:basedOn w:val="BodyText"/>
    <w:link w:val="TableheadingChar"/>
    <w:rsid w:val="00606FA9"/>
    <w:pPr>
      <w:keepNext/>
      <w:spacing w:before="120" w:after="120" w:line="240" w:lineRule="auto"/>
    </w:pPr>
    <w:rPr>
      <w:b/>
      <w:sz w:val="18"/>
    </w:rPr>
  </w:style>
  <w:style w:type="character" w:customStyle="1" w:styleId="HeaderChar">
    <w:name w:val="Header Char"/>
    <w:basedOn w:val="DefaultParagraphFont"/>
    <w:link w:val="Header"/>
    <w:uiPriority w:val="99"/>
    <w:locked/>
    <w:rsid w:val="00606FA9"/>
    <w:rPr>
      <w:rFonts w:ascii="Arial" w:hAnsi="Arial"/>
      <w:sz w:val="18"/>
      <w:lang w:eastAsia="en-US"/>
    </w:rPr>
  </w:style>
  <w:style w:type="character" w:customStyle="1" w:styleId="FooterChar">
    <w:name w:val="Footer Char"/>
    <w:basedOn w:val="DefaultParagraphFont"/>
    <w:link w:val="Footer"/>
    <w:uiPriority w:val="99"/>
    <w:locked/>
    <w:rsid w:val="00606FA9"/>
    <w:rPr>
      <w:rFonts w:ascii="Arial" w:hAnsi="Arial"/>
      <w:sz w:val="18"/>
      <w:lang w:eastAsia="en-US"/>
    </w:rPr>
  </w:style>
  <w:style w:type="character" w:customStyle="1" w:styleId="Heading1Char">
    <w:name w:val="Heading 1 Char"/>
    <w:basedOn w:val="DefaultParagraphFont"/>
    <w:link w:val="Heading1"/>
    <w:rsid w:val="00E01216"/>
    <w:rPr>
      <w:rFonts w:ascii="Frutiger LT 45 Light" w:hAnsi="Frutiger LT 45 Light" w:cs="Arial"/>
      <w:b/>
      <w:bCs/>
      <w:color w:val="333333"/>
      <w:kern w:val="32"/>
      <w:sz w:val="48"/>
      <w:szCs w:val="22"/>
      <w:lang w:eastAsia="en-GB"/>
    </w:rPr>
  </w:style>
  <w:style w:type="paragraph" w:customStyle="1" w:styleId="zHeaderEven">
    <w:name w:val="z_Header Even"/>
    <w:basedOn w:val="zHeaderOdd"/>
    <w:uiPriority w:val="14"/>
    <w:semiHidden/>
    <w:rsid w:val="00E01216"/>
    <w:pPr>
      <w:jc w:val="left"/>
    </w:pPr>
  </w:style>
  <w:style w:type="paragraph" w:customStyle="1" w:styleId="zHeaderOdd">
    <w:name w:val="z_Header Odd"/>
    <w:basedOn w:val="BodyText"/>
    <w:next w:val="BodyText"/>
    <w:uiPriority w:val="14"/>
    <w:semiHidden/>
    <w:rsid w:val="00E01216"/>
    <w:pPr>
      <w:spacing w:after="0" w:line="240" w:lineRule="auto"/>
      <w:jc w:val="right"/>
    </w:pPr>
    <w:rPr>
      <w:sz w:val="16"/>
      <w:lang w:eastAsia="en-US"/>
    </w:rPr>
  </w:style>
  <w:style w:type="paragraph" w:customStyle="1" w:styleId="zFooterEvenPortrait">
    <w:name w:val="z_Footer Even Portrait"/>
    <w:basedOn w:val="zFooterOddPortrait"/>
    <w:uiPriority w:val="14"/>
    <w:semiHidden/>
    <w:rsid w:val="00E01216"/>
  </w:style>
  <w:style w:type="paragraph" w:customStyle="1" w:styleId="zFooterOddPortrait">
    <w:name w:val="z_Footer Odd Portrait"/>
    <w:basedOn w:val="BodyText"/>
    <w:next w:val="BodyText"/>
    <w:uiPriority w:val="14"/>
    <w:semiHidden/>
    <w:rsid w:val="00E01216"/>
    <w:pPr>
      <w:tabs>
        <w:tab w:val="right" w:pos="9639"/>
      </w:tabs>
      <w:spacing w:after="0" w:line="240" w:lineRule="auto"/>
    </w:pPr>
    <w:rPr>
      <w:szCs w:val="22"/>
      <w:lang w:eastAsia="en-US"/>
    </w:rPr>
  </w:style>
  <w:style w:type="character" w:styleId="PageNumber">
    <w:name w:val="page number"/>
    <w:basedOn w:val="DefaultParagraphFont"/>
    <w:uiPriority w:val="14"/>
    <w:rsid w:val="00E01216"/>
    <w:rPr>
      <w:rFonts w:ascii="Frutiger LT 45 Light" w:hAnsi="Frutiger LT 45 Light"/>
      <w:sz w:val="22"/>
    </w:rPr>
  </w:style>
  <w:style w:type="paragraph" w:styleId="NormalWeb">
    <w:name w:val="Normal (Web)"/>
    <w:basedOn w:val="Normal"/>
    <w:uiPriority w:val="99"/>
    <w:semiHidden/>
    <w:unhideWhenUsed/>
    <w:rsid w:val="00E01216"/>
    <w:pPr>
      <w:spacing w:before="100" w:beforeAutospacing="1" w:after="100" w:afterAutospacing="1"/>
    </w:pPr>
    <w:rPr>
      <w:rFonts w:ascii="Times New Roman" w:eastAsiaTheme="minorEastAsia" w:hAnsi="Times New Roman"/>
      <w:sz w:val="24"/>
      <w:szCs w:val="24"/>
      <w:lang w:eastAsia="en-NZ"/>
    </w:rPr>
  </w:style>
  <w:style w:type="character" w:customStyle="1" w:styleId="TableheadingChar">
    <w:name w:val="Table heading Char"/>
    <w:basedOn w:val="BodyTextChar"/>
    <w:link w:val="Tableheading"/>
    <w:rsid w:val="00E01216"/>
    <w:rPr>
      <w:rFonts w:ascii="Frutiger LT 45 Light" w:hAnsi="Frutiger LT 45 Light"/>
      <w:b/>
      <w:sz w:val="18"/>
      <w:lang w:eastAsia="en-GB"/>
    </w:rPr>
  </w:style>
  <w:style w:type="character" w:customStyle="1" w:styleId="TablebodytextChar">
    <w:name w:val="Table body text Char"/>
    <w:basedOn w:val="BodyTextChar"/>
    <w:link w:val="Tablebodytext"/>
    <w:rsid w:val="00E01216"/>
    <w:rPr>
      <w:rFonts w:ascii="Frutiger LT 45 Light" w:hAnsi="Frutiger LT 45 Light"/>
      <w:sz w:val="22"/>
      <w:lang w:eastAsia="en-GB"/>
    </w:rPr>
  </w:style>
  <w:style w:type="character" w:styleId="Hyperlink">
    <w:name w:val="Hyperlink"/>
    <w:basedOn w:val="DefaultParagraphFont"/>
    <w:uiPriority w:val="99"/>
    <w:unhideWhenUsed/>
    <w:rsid w:val="005C26B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14"/>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lang w:eastAsia="en-US"/>
    </w:rPr>
  </w:style>
  <w:style w:type="paragraph" w:styleId="Heading1">
    <w:name w:val="heading 1"/>
    <w:basedOn w:val="BodyText"/>
    <w:next w:val="BodyText"/>
    <w:link w:val="Heading1Char"/>
    <w:qFormat/>
    <w:rsid w:val="00E01216"/>
    <w:pPr>
      <w:keepNext/>
      <w:pBdr>
        <w:bottom w:val="single" w:sz="8" w:space="5" w:color="auto"/>
      </w:pBdr>
      <w:spacing w:before="240" w:after="60" w:line="400" w:lineRule="atLeast"/>
      <w:outlineLvl w:val="0"/>
    </w:pPr>
    <w:rPr>
      <w:rFonts w:cs="Arial"/>
      <w:b/>
      <w:bCs/>
      <w:color w:val="333333"/>
      <w:kern w:val="32"/>
      <w:sz w:val="4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right" w:pos="8306"/>
      </w:tabs>
    </w:pPr>
    <w:rPr>
      <w:sz w:val="18"/>
    </w:rPr>
  </w:style>
  <w:style w:type="paragraph" w:styleId="Footer">
    <w:name w:val="footer"/>
    <w:basedOn w:val="Normal"/>
    <w:link w:val="FooterChar"/>
    <w:uiPriority w:val="99"/>
    <w:pPr>
      <w:tabs>
        <w:tab w:val="right" w:pos="8306"/>
      </w:tabs>
    </w:pPr>
    <w:rPr>
      <w:sz w:val="18"/>
    </w:rPr>
  </w:style>
  <w:style w:type="character" w:styleId="CommentReference">
    <w:name w:val="annotation reference"/>
    <w:basedOn w:val="DefaultParagraphFont"/>
    <w:semiHidden/>
    <w:rsid w:val="00065788"/>
    <w:rPr>
      <w:sz w:val="16"/>
      <w:szCs w:val="16"/>
    </w:rPr>
  </w:style>
  <w:style w:type="paragraph" w:styleId="CommentText">
    <w:name w:val="annotation text"/>
    <w:basedOn w:val="Normal"/>
    <w:link w:val="CommentTextChar"/>
    <w:semiHidden/>
    <w:rsid w:val="00065788"/>
    <w:rPr>
      <w:sz w:val="20"/>
    </w:rPr>
  </w:style>
  <w:style w:type="character" w:customStyle="1" w:styleId="CommentTextChar">
    <w:name w:val="Comment Text Char"/>
    <w:basedOn w:val="DefaultParagraphFont"/>
    <w:link w:val="CommentText"/>
    <w:semiHidden/>
    <w:rsid w:val="00065788"/>
    <w:rPr>
      <w:rFonts w:ascii="Arial" w:hAnsi="Arial"/>
      <w:lang w:eastAsia="en-US"/>
    </w:rPr>
  </w:style>
  <w:style w:type="paragraph" w:styleId="FootnoteText">
    <w:name w:val="footnote text"/>
    <w:basedOn w:val="Normal"/>
    <w:link w:val="FootnoteTextChar"/>
    <w:semiHidden/>
    <w:rsid w:val="00065788"/>
    <w:rPr>
      <w:sz w:val="20"/>
    </w:rPr>
  </w:style>
  <w:style w:type="character" w:customStyle="1" w:styleId="FootnoteTextChar">
    <w:name w:val="Footnote Text Char"/>
    <w:basedOn w:val="DefaultParagraphFont"/>
    <w:link w:val="FootnoteText"/>
    <w:semiHidden/>
    <w:rsid w:val="00065788"/>
    <w:rPr>
      <w:rFonts w:ascii="Arial" w:hAnsi="Arial"/>
      <w:lang w:eastAsia="en-US"/>
    </w:rPr>
  </w:style>
  <w:style w:type="character" w:styleId="FootnoteReference">
    <w:name w:val="footnote reference"/>
    <w:basedOn w:val="DefaultParagraphFont"/>
    <w:semiHidden/>
    <w:rsid w:val="00065788"/>
    <w:rPr>
      <w:vertAlign w:val="superscript"/>
    </w:rPr>
  </w:style>
  <w:style w:type="paragraph" w:styleId="ListParagraph">
    <w:name w:val="List Paragraph"/>
    <w:basedOn w:val="Normal"/>
    <w:uiPriority w:val="34"/>
    <w:qFormat/>
    <w:rsid w:val="00065788"/>
    <w:pPr>
      <w:spacing w:after="200" w:line="276" w:lineRule="auto"/>
      <w:ind w:left="720"/>
    </w:pPr>
    <w:rPr>
      <w:rFonts w:ascii="Calibri" w:eastAsia="Calibri" w:hAnsi="Calibri"/>
      <w:szCs w:val="22"/>
    </w:rPr>
  </w:style>
  <w:style w:type="paragraph" w:styleId="BalloonText">
    <w:name w:val="Balloon Text"/>
    <w:basedOn w:val="Normal"/>
    <w:link w:val="BalloonTextChar"/>
    <w:uiPriority w:val="99"/>
    <w:semiHidden/>
    <w:unhideWhenUsed/>
    <w:rsid w:val="00065788"/>
    <w:rPr>
      <w:rFonts w:ascii="Tahoma" w:hAnsi="Tahoma" w:cs="Tahoma"/>
      <w:sz w:val="16"/>
      <w:szCs w:val="16"/>
    </w:rPr>
  </w:style>
  <w:style w:type="character" w:customStyle="1" w:styleId="BalloonTextChar">
    <w:name w:val="Balloon Text Char"/>
    <w:basedOn w:val="DefaultParagraphFont"/>
    <w:link w:val="BalloonText"/>
    <w:uiPriority w:val="99"/>
    <w:semiHidden/>
    <w:rsid w:val="00065788"/>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5751E3"/>
    <w:rPr>
      <w:b/>
      <w:bCs/>
    </w:rPr>
  </w:style>
  <w:style w:type="character" w:customStyle="1" w:styleId="CommentSubjectChar">
    <w:name w:val="Comment Subject Char"/>
    <w:basedOn w:val="CommentTextChar"/>
    <w:link w:val="CommentSubject"/>
    <w:uiPriority w:val="99"/>
    <w:semiHidden/>
    <w:rsid w:val="005751E3"/>
    <w:rPr>
      <w:rFonts w:ascii="Arial" w:hAnsi="Arial"/>
      <w:b/>
      <w:bCs/>
      <w:lang w:eastAsia="en-US"/>
    </w:rPr>
  </w:style>
  <w:style w:type="paragraph" w:styleId="BodyText">
    <w:name w:val="Body Text"/>
    <w:basedOn w:val="Normal"/>
    <w:link w:val="BodyTextChar"/>
    <w:uiPriority w:val="99"/>
    <w:rsid w:val="00606FA9"/>
    <w:pPr>
      <w:spacing w:after="240" w:line="320" w:lineRule="atLeast"/>
    </w:pPr>
    <w:rPr>
      <w:rFonts w:ascii="Frutiger LT 45 Light" w:hAnsi="Frutiger LT 45 Light"/>
      <w:lang w:eastAsia="en-GB"/>
    </w:rPr>
  </w:style>
  <w:style w:type="character" w:customStyle="1" w:styleId="BodyTextChar">
    <w:name w:val="Body Text Char"/>
    <w:basedOn w:val="DefaultParagraphFont"/>
    <w:link w:val="BodyText"/>
    <w:uiPriority w:val="99"/>
    <w:rsid w:val="00606FA9"/>
    <w:rPr>
      <w:rFonts w:ascii="Frutiger LT 45 Light" w:hAnsi="Frutiger LT 45 Light"/>
      <w:sz w:val="22"/>
      <w:lang w:eastAsia="en-GB"/>
    </w:rPr>
  </w:style>
  <w:style w:type="paragraph" w:customStyle="1" w:styleId="Tablebodytext">
    <w:name w:val="Table body text"/>
    <w:basedOn w:val="BodyText"/>
    <w:link w:val="TablebodytextChar"/>
    <w:rsid w:val="00606FA9"/>
    <w:pPr>
      <w:spacing w:before="60" w:after="60" w:line="240" w:lineRule="atLeast"/>
    </w:pPr>
    <w:rPr>
      <w:sz w:val="20"/>
    </w:rPr>
  </w:style>
  <w:style w:type="paragraph" w:customStyle="1" w:styleId="Tableheading">
    <w:name w:val="Table heading"/>
    <w:basedOn w:val="BodyText"/>
    <w:link w:val="TableheadingChar"/>
    <w:rsid w:val="00606FA9"/>
    <w:pPr>
      <w:keepNext/>
      <w:spacing w:before="120" w:after="120" w:line="240" w:lineRule="auto"/>
    </w:pPr>
    <w:rPr>
      <w:b/>
      <w:sz w:val="18"/>
    </w:rPr>
  </w:style>
  <w:style w:type="character" w:customStyle="1" w:styleId="HeaderChar">
    <w:name w:val="Header Char"/>
    <w:basedOn w:val="DefaultParagraphFont"/>
    <w:link w:val="Header"/>
    <w:uiPriority w:val="99"/>
    <w:locked/>
    <w:rsid w:val="00606FA9"/>
    <w:rPr>
      <w:rFonts w:ascii="Arial" w:hAnsi="Arial"/>
      <w:sz w:val="18"/>
      <w:lang w:eastAsia="en-US"/>
    </w:rPr>
  </w:style>
  <w:style w:type="character" w:customStyle="1" w:styleId="FooterChar">
    <w:name w:val="Footer Char"/>
    <w:basedOn w:val="DefaultParagraphFont"/>
    <w:link w:val="Footer"/>
    <w:uiPriority w:val="99"/>
    <w:locked/>
    <w:rsid w:val="00606FA9"/>
    <w:rPr>
      <w:rFonts w:ascii="Arial" w:hAnsi="Arial"/>
      <w:sz w:val="18"/>
      <w:lang w:eastAsia="en-US"/>
    </w:rPr>
  </w:style>
  <w:style w:type="character" w:customStyle="1" w:styleId="Heading1Char">
    <w:name w:val="Heading 1 Char"/>
    <w:basedOn w:val="DefaultParagraphFont"/>
    <w:link w:val="Heading1"/>
    <w:rsid w:val="00E01216"/>
    <w:rPr>
      <w:rFonts w:ascii="Frutiger LT 45 Light" w:hAnsi="Frutiger LT 45 Light" w:cs="Arial"/>
      <w:b/>
      <w:bCs/>
      <w:color w:val="333333"/>
      <w:kern w:val="32"/>
      <w:sz w:val="48"/>
      <w:szCs w:val="22"/>
      <w:lang w:eastAsia="en-GB"/>
    </w:rPr>
  </w:style>
  <w:style w:type="paragraph" w:customStyle="1" w:styleId="zHeaderEven">
    <w:name w:val="z_Header Even"/>
    <w:basedOn w:val="zHeaderOdd"/>
    <w:uiPriority w:val="14"/>
    <w:semiHidden/>
    <w:rsid w:val="00E01216"/>
    <w:pPr>
      <w:jc w:val="left"/>
    </w:pPr>
  </w:style>
  <w:style w:type="paragraph" w:customStyle="1" w:styleId="zHeaderOdd">
    <w:name w:val="z_Header Odd"/>
    <w:basedOn w:val="BodyText"/>
    <w:next w:val="BodyText"/>
    <w:uiPriority w:val="14"/>
    <w:semiHidden/>
    <w:rsid w:val="00E01216"/>
    <w:pPr>
      <w:spacing w:after="0" w:line="240" w:lineRule="auto"/>
      <w:jc w:val="right"/>
    </w:pPr>
    <w:rPr>
      <w:sz w:val="16"/>
      <w:lang w:eastAsia="en-US"/>
    </w:rPr>
  </w:style>
  <w:style w:type="paragraph" w:customStyle="1" w:styleId="zFooterEvenPortrait">
    <w:name w:val="z_Footer Even Portrait"/>
    <w:basedOn w:val="zFooterOddPortrait"/>
    <w:uiPriority w:val="14"/>
    <w:semiHidden/>
    <w:rsid w:val="00E01216"/>
  </w:style>
  <w:style w:type="paragraph" w:customStyle="1" w:styleId="zFooterOddPortrait">
    <w:name w:val="z_Footer Odd Portrait"/>
    <w:basedOn w:val="BodyText"/>
    <w:next w:val="BodyText"/>
    <w:uiPriority w:val="14"/>
    <w:semiHidden/>
    <w:rsid w:val="00E01216"/>
    <w:pPr>
      <w:tabs>
        <w:tab w:val="right" w:pos="9639"/>
      </w:tabs>
      <w:spacing w:after="0" w:line="240" w:lineRule="auto"/>
    </w:pPr>
    <w:rPr>
      <w:szCs w:val="22"/>
      <w:lang w:eastAsia="en-US"/>
    </w:rPr>
  </w:style>
  <w:style w:type="character" w:styleId="PageNumber">
    <w:name w:val="page number"/>
    <w:basedOn w:val="DefaultParagraphFont"/>
    <w:uiPriority w:val="14"/>
    <w:rsid w:val="00E01216"/>
    <w:rPr>
      <w:rFonts w:ascii="Frutiger LT 45 Light" w:hAnsi="Frutiger LT 45 Light"/>
      <w:sz w:val="22"/>
    </w:rPr>
  </w:style>
  <w:style w:type="paragraph" w:styleId="NormalWeb">
    <w:name w:val="Normal (Web)"/>
    <w:basedOn w:val="Normal"/>
    <w:uiPriority w:val="99"/>
    <w:semiHidden/>
    <w:unhideWhenUsed/>
    <w:rsid w:val="00E01216"/>
    <w:pPr>
      <w:spacing w:before="100" w:beforeAutospacing="1" w:after="100" w:afterAutospacing="1"/>
    </w:pPr>
    <w:rPr>
      <w:rFonts w:ascii="Times New Roman" w:eastAsiaTheme="minorEastAsia" w:hAnsi="Times New Roman"/>
      <w:sz w:val="24"/>
      <w:szCs w:val="24"/>
      <w:lang w:eastAsia="en-NZ"/>
    </w:rPr>
  </w:style>
  <w:style w:type="character" w:customStyle="1" w:styleId="TableheadingChar">
    <w:name w:val="Table heading Char"/>
    <w:basedOn w:val="BodyTextChar"/>
    <w:link w:val="Tableheading"/>
    <w:rsid w:val="00E01216"/>
    <w:rPr>
      <w:rFonts w:ascii="Frutiger LT 45 Light" w:hAnsi="Frutiger LT 45 Light"/>
      <w:b/>
      <w:sz w:val="18"/>
      <w:lang w:eastAsia="en-GB"/>
    </w:rPr>
  </w:style>
  <w:style w:type="character" w:customStyle="1" w:styleId="TablebodytextChar">
    <w:name w:val="Table body text Char"/>
    <w:basedOn w:val="BodyTextChar"/>
    <w:link w:val="Tablebodytext"/>
    <w:rsid w:val="00E01216"/>
    <w:rPr>
      <w:rFonts w:ascii="Frutiger LT 45 Light" w:hAnsi="Frutiger LT 45 Light"/>
      <w:sz w:val="22"/>
      <w:lang w:eastAsia="en-GB"/>
    </w:rPr>
  </w:style>
  <w:style w:type="character" w:styleId="Hyperlink">
    <w:name w:val="Hyperlink"/>
    <w:basedOn w:val="DefaultParagraphFont"/>
    <w:uiPriority w:val="99"/>
    <w:unhideWhenUsed/>
    <w:rsid w:val="005C26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liver.vincent@powerco.co.nz"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jsds1.live\dfs\packages\powerco%20templates\Powerco\Letterhead%20Corpor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19FE0-77C0-48F8-97A5-9D0BDFDC6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Corporate</Template>
  <TotalTime>2</TotalTime>
  <Pages>6</Pages>
  <Words>1751</Words>
  <Characters>9200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Powerco</Company>
  <LinksUpToDate>false</LinksUpToDate>
  <CharactersWithSpaces>10930</CharactersWithSpaces>
  <SharedDoc>false</SharedDoc>
  <HLinks>
    <vt:vector size="6" baseType="variant">
      <vt:variant>
        <vt:i4>3866748</vt:i4>
      </vt:variant>
      <vt:variant>
        <vt:i4>-1</vt:i4>
      </vt:variant>
      <vt:variant>
        <vt:i4>2062</vt:i4>
      </vt:variant>
      <vt:variant>
        <vt:i4>1</vt:i4>
      </vt:variant>
      <vt:variant>
        <vt:lpwstr>::::PcoCorporate L/Head.TIF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OXV345</dc:creator>
  <cp:lastModifiedBy>Oliver Vincent</cp:lastModifiedBy>
  <cp:revision>3</cp:revision>
  <cp:lastPrinted>2014-11-28T03:09:00Z</cp:lastPrinted>
  <dcterms:created xsi:type="dcterms:W3CDTF">2014-11-28T03:09:00Z</dcterms:created>
  <dcterms:modified xsi:type="dcterms:W3CDTF">2014-11-28T03:10:00Z</dcterms:modified>
</cp:coreProperties>
</file>