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FB1A8" w14:textId="77777777" w:rsidR="007960D4" w:rsidRDefault="00B27E6E">
      <w:bookmarkStart w:id="0" w:name="_GoBack"/>
    </w:p>
    <w:bookmarkEnd w:id="0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6299"/>
      </w:tblGrid>
      <w:tr w:rsidR="00A44525" w14:paraId="0499CC57" w14:textId="77777777" w:rsidTr="00EA53D6">
        <w:trPr>
          <w:trHeight w:val="87"/>
        </w:trPr>
        <w:tc>
          <w:tcPr>
            <w:tcW w:w="675" w:type="dxa"/>
          </w:tcPr>
          <w:p w14:paraId="5F8F384C" w14:textId="77777777" w:rsidR="00A44525" w:rsidRDefault="00A44525" w:rsidP="00FD005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146F9347" w14:textId="77777777" w:rsidR="00A44525" w:rsidRPr="006C59FB" w:rsidRDefault="00A44525" w:rsidP="00FD005F">
            <w:pPr>
              <w:pStyle w:val="Default"/>
              <w:rPr>
                <w:b/>
                <w:sz w:val="18"/>
                <w:szCs w:val="18"/>
              </w:rPr>
            </w:pPr>
            <w:r w:rsidRPr="006C59FB">
              <w:rPr>
                <w:b/>
                <w:sz w:val="18"/>
                <w:szCs w:val="18"/>
              </w:rPr>
              <w:t>QUESTION</w:t>
            </w:r>
          </w:p>
        </w:tc>
        <w:tc>
          <w:tcPr>
            <w:tcW w:w="6299" w:type="dxa"/>
          </w:tcPr>
          <w:p w14:paraId="1771D234" w14:textId="77777777" w:rsidR="00A44525" w:rsidRDefault="00A44525" w:rsidP="00FD005F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6C59FB">
              <w:rPr>
                <w:b/>
                <w:bCs/>
                <w:sz w:val="18"/>
                <w:szCs w:val="18"/>
              </w:rPr>
              <w:t>COMMENT</w:t>
            </w:r>
          </w:p>
        </w:tc>
      </w:tr>
      <w:tr w:rsidR="00A44525" w14:paraId="68818963" w14:textId="77777777" w:rsidTr="00EA53D6">
        <w:trPr>
          <w:trHeight w:val="721"/>
        </w:trPr>
        <w:tc>
          <w:tcPr>
            <w:tcW w:w="675" w:type="dxa"/>
          </w:tcPr>
          <w:p w14:paraId="1B40E8F8" w14:textId="77777777" w:rsidR="00A44525" w:rsidRDefault="00A44525" w:rsidP="00FD005F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Q1: </w:t>
            </w:r>
          </w:p>
        </w:tc>
        <w:tc>
          <w:tcPr>
            <w:tcW w:w="2268" w:type="dxa"/>
          </w:tcPr>
          <w:p w14:paraId="243630E3" w14:textId="77777777" w:rsidR="00A44525" w:rsidRDefault="00A44525" w:rsidP="00FD005F">
            <w:pPr>
              <w:pStyle w:val="Default"/>
              <w:rPr>
                <w:sz w:val="21"/>
                <w:szCs w:val="21"/>
              </w:rPr>
            </w:pPr>
            <w:r w:rsidRPr="00A44525">
              <w:rPr>
                <w:sz w:val="21"/>
                <w:szCs w:val="21"/>
              </w:rPr>
              <w:t xml:space="preserve">Do you think our approach to the analysis is </w:t>
            </w:r>
            <w:proofErr w:type="gramStart"/>
            <w:r w:rsidRPr="00A44525">
              <w:rPr>
                <w:sz w:val="21"/>
                <w:szCs w:val="21"/>
              </w:rPr>
              <w:t>reasonable.</w:t>
            </w:r>
            <w:proofErr w:type="gramEnd"/>
            <w:r w:rsidRPr="00A44525">
              <w:rPr>
                <w:sz w:val="21"/>
                <w:szCs w:val="21"/>
              </w:rPr>
              <w:t xml:space="preserve"> If not, what further analysis do you think is necessary?</w:t>
            </w:r>
          </w:p>
        </w:tc>
        <w:tc>
          <w:tcPr>
            <w:tcW w:w="6299" w:type="dxa"/>
          </w:tcPr>
          <w:p w14:paraId="4B6944F9" w14:textId="4BE803BB" w:rsidR="00363C5D" w:rsidRDefault="00A44525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We think the approach is reasonable but </w:t>
            </w:r>
            <w:r w:rsidR="00AA020C">
              <w:rPr>
                <w:sz w:val="21"/>
                <w:szCs w:val="21"/>
              </w:rPr>
              <w:t xml:space="preserve">we are less certain what conclusions </w:t>
            </w:r>
            <w:r w:rsidR="004F281F">
              <w:rPr>
                <w:sz w:val="21"/>
                <w:szCs w:val="21"/>
              </w:rPr>
              <w:t xml:space="preserve">about MBB </w:t>
            </w:r>
            <w:r w:rsidR="009D6D82">
              <w:rPr>
                <w:sz w:val="21"/>
                <w:szCs w:val="21"/>
              </w:rPr>
              <w:t>can be drawn from the paper.</w:t>
            </w:r>
          </w:p>
          <w:p w14:paraId="1EE3F174" w14:textId="77777777" w:rsidR="009D6D82" w:rsidRDefault="009D6D82">
            <w:pPr>
              <w:pStyle w:val="Default"/>
              <w:rPr>
                <w:sz w:val="21"/>
                <w:szCs w:val="21"/>
              </w:rPr>
            </w:pPr>
          </w:p>
          <w:p w14:paraId="70CC24DB" w14:textId="2DF31E18" w:rsidR="000258BA" w:rsidRDefault="009D6D82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There are three separate effects considered in the paper; </w:t>
            </w:r>
            <w:r w:rsidR="00DA5A0F">
              <w:rPr>
                <w:sz w:val="21"/>
                <w:szCs w:val="21"/>
              </w:rPr>
              <w:t>m</w:t>
            </w:r>
            <w:r>
              <w:rPr>
                <w:sz w:val="21"/>
                <w:szCs w:val="21"/>
              </w:rPr>
              <w:t xml:space="preserve">ismatch (Operational Imbalance), secondary balancing, and pricing spread of </w:t>
            </w:r>
            <w:r w:rsidR="000258BA">
              <w:rPr>
                <w:sz w:val="21"/>
                <w:szCs w:val="21"/>
              </w:rPr>
              <w:t xml:space="preserve">balancing gas </w:t>
            </w:r>
            <w:r>
              <w:rPr>
                <w:sz w:val="21"/>
                <w:szCs w:val="21"/>
              </w:rPr>
              <w:t xml:space="preserve">puts and calls. </w:t>
            </w:r>
          </w:p>
          <w:p w14:paraId="66B7A95E" w14:textId="77777777" w:rsidR="000258BA" w:rsidRDefault="000258BA">
            <w:pPr>
              <w:pStyle w:val="Default"/>
              <w:rPr>
                <w:sz w:val="21"/>
                <w:szCs w:val="21"/>
              </w:rPr>
            </w:pPr>
          </w:p>
          <w:p w14:paraId="29B2C4C9" w14:textId="07090A14" w:rsidR="009D6D82" w:rsidRDefault="009D6D82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Mismatch improvements c</w:t>
            </w:r>
            <w:r w:rsidR="000258BA">
              <w:rPr>
                <w:sz w:val="21"/>
                <w:szCs w:val="21"/>
              </w:rPr>
              <w:t xml:space="preserve">ould </w:t>
            </w:r>
            <w:r>
              <w:rPr>
                <w:sz w:val="21"/>
                <w:szCs w:val="21"/>
              </w:rPr>
              <w:t xml:space="preserve">be attributed to better information (D+1), and pricing spread appears to be </w:t>
            </w:r>
            <w:r w:rsidR="000258BA">
              <w:rPr>
                <w:sz w:val="21"/>
                <w:szCs w:val="21"/>
              </w:rPr>
              <w:t>more of a function of where balancing gas is being traded (</w:t>
            </w:r>
            <w:r>
              <w:rPr>
                <w:sz w:val="21"/>
                <w:szCs w:val="21"/>
              </w:rPr>
              <w:t xml:space="preserve">illiquid BGX </w:t>
            </w:r>
            <w:r w:rsidR="000258BA">
              <w:rPr>
                <w:sz w:val="21"/>
                <w:szCs w:val="21"/>
              </w:rPr>
              <w:t xml:space="preserve">vs </w:t>
            </w:r>
            <w:r>
              <w:rPr>
                <w:sz w:val="21"/>
                <w:szCs w:val="21"/>
              </w:rPr>
              <w:t>more liquid emsTradepoint</w:t>
            </w:r>
            <w:r w:rsidR="000258BA">
              <w:rPr>
                <w:sz w:val="21"/>
                <w:szCs w:val="21"/>
              </w:rPr>
              <w:t>)</w:t>
            </w:r>
            <w:r>
              <w:rPr>
                <w:sz w:val="21"/>
                <w:szCs w:val="21"/>
              </w:rPr>
              <w:t xml:space="preserve">. </w:t>
            </w:r>
          </w:p>
          <w:p w14:paraId="63D20949" w14:textId="77777777" w:rsidR="009D6D82" w:rsidRDefault="009D6D82">
            <w:pPr>
              <w:pStyle w:val="Default"/>
              <w:rPr>
                <w:sz w:val="21"/>
                <w:szCs w:val="21"/>
              </w:rPr>
            </w:pPr>
          </w:p>
          <w:p w14:paraId="66592C7D" w14:textId="36A4AB26" w:rsidR="00AA020C" w:rsidRDefault="009D6D82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The only area where there </w:t>
            </w:r>
            <w:r w:rsidR="000258BA">
              <w:rPr>
                <w:sz w:val="21"/>
                <w:szCs w:val="21"/>
              </w:rPr>
              <w:t xml:space="preserve">seems to be </w:t>
            </w:r>
            <w:r>
              <w:rPr>
                <w:sz w:val="21"/>
                <w:szCs w:val="21"/>
              </w:rPr>
              <w:t xml:space="preserve">no improvement is in secondary balancing, an issue MBB was </w:t>
            </w:r>
            <w:r w:rsidR="00997152">
              <w:rPr>
                <w:sz w:val="21"/>
                <w:szCs w:val="21"/>
              </w:rPr>
              <w:t>designed</w:t>
            </w:r>
            <w:r>
              <w:rPr>
                <w:sz w:val="21"/>
                <w:szCs w:val="21"/>
              </w:rPr>
              <w:t xml:space="preserve"> to </w:t>
            </w:r>
            <w:r w:rsidR="00DA5A0F">
              <w:rPr>
                <w:sz w:val="21"/>
                <w:szCs w:val="21"/>
              </w:rPr>
              <w:t>address</w:t>
            </w:r>
            <w:r>
              <w:rPr>
                <w:sz w:val="21"/>
                <w:szCs w:val="21"/>
              </w:rPr>
              <w:t xml:space="preserve">. </w:t>
            </w:r>
            <w:r w:rsidR="00DA5A0F">
              <w:rPr>
                <w:sz w:val="21"/>
                <w:szCs w:val="21"/>
              </w:rPr>
              <w:t>For example, i</w:t>
            </w:r>
            <w:r w:rsidR="00AA020C" w:rsidRPr="00AA020C">
              <w:rPr>
                <w:sz w:val="21"/>
                <w:szCs w:val="21"/>
              </w:rPr>
              <w:t>f figure 8</w:t>
            </w:r>
            <w:r w:rsidR="00AA020C">
              <w:rPr>
                <w:sz w:val="21"/>
                <w:szCs w:val="21"/>
              </w:rPr>
              <w:t xml:space="preserve"> (secondary balancing by TSO) </w:t>
            </w:r>
            <w:r w:rsidR="00AA020C" w:rsidRPr="00AA020C">
              <w:rPr>
                <w:sz w:val="21"/>
                <w:szCs w:val="21"/>
              </w:rPr>
              <w:t xml:space="preserve">is adjusted to give a symmetric time period – i.e. 9 months forward and back (vs 13 months back and 9 months forward), there </w:t>
            </w:r>
            <w:r w:rsidR="00AA020C">
              <w:rPr>
                <w:sz w:val="21"/>
                <w:szCs w:val="21"/>
              </w:rPr>
              <w:t>has been</w:t>
            </w:r>
            <w:r w:rsidR="00AA020C" w:rsidRPr="00AA020C">
              <w:rPr>
                <w:sz w:val="21"/>
                <w:szCs w:val="21"/>
              </w:rPr>
              <w:t xml:space="preserve"> a slight reduction in the</w:t>
            </w:r>
            <w:r w:rsidR="00AA020C">
              <w:rPr>
                <w:sz w:val="21"/>
                <w:szCs w:val="21"/>
              </w:rPr>
              <w:t xml:space="preserve"> volume of calls. </w:t>
            </w:r>
            <w:r w:rsidR="00AA020C" w:rsidRPr="00AA020C">
              <w:rPr>
                <w:sz w:val="21"/>
                <w:szCs w:val="21"/>
              </w:rPr>
              <w:t>The other measures show no improvement, or in the case of puts actually a higher number post MBB. As further pointed out</w:t>
            </w:r>
            <w:r>
              <w:rPr>
                <w:sz w:val="21"/>
                <w:szCs w:val="21"/>
              </w:rPr>
              <w:t xml:space="preserve"> in the paper</w:t>
            </w:r>
            <w:r w:rsidR="00AA020C" w:rsidRPr="00AA020C">
              <w:rPr>
                <w:sz w:val="21"/>
                <w:szCs w:val="21"/>
              </w:rPr>
              <w:t xml:space="preserve"> if cash outs are considered a </w:t>
            </w:r>
            <w:r>
              <w:rPr>
                <w:sz w:val="21"/>
                <w:szCs w:val="21"/>
              </w:rPr>
              <w:t xml:space="preserve">default </w:t>
            </w:r>
            <w:r w:rsidR="00AA020C" w:rsidRPr="00AA020C">
              <w:rPr>
                <w:sz w:val="21"/>
                <w:szCs w:val="21"/>
              </w:rPr>
              <w:t>secondary balancing action then the number of secondary balancing actions taken has</w:t>
            </w:r>
            <w:r w:rsidR="00646A9F">
              <w:rPr>
                <w:sz w:val="21"/>
                <w:szCs w:val="21"/>
              </w:rPr>
              <w:t xml:space="preserve"> </w:t>
            </w:r>
            <w:r w:rsidR="00646A9F" w:rsidRPr="00997152">
              <w:rPr>
                <w:i/>
                <w:sz w:val="21"/>
                <w:szCs w:val="21"/>
              </w:rPr>
              <w:t>increased</w:t>
            </w:r>
            <w:r w:rsidR="00646A9F">
              <w:rPr>
                <w:sz w:val="21"/>
                <w:szCs w:val="21"/>
              </w:rPr>
              <w:t xml:space="preserve"> post MBB.</w:t>
            </w:r>
            <w:r w:rsidR="000258BA">
              <w:rPr>
                <w:sz w:val="21"/>
                <w:szCs w:val="21"/>
              </w:rPr>
              <w:t xml:space="preserve"> A reasonable conclusion </w:t>
            </w:r>
            <w:r w:rsidR="00997152">
              <w:rPr>
                <w:sz w:val="21"/>
                <w:szCs w:val="21"/>
              </w:rPr>
              <w:t>from the experiment therefore is that</w:t>
            </w:r>
            <w:r w:rsidR="000258BA">
              <w:rPr>
                <w:sz w:val="21"/>
                <w:szCs w:val="21"/>
              </w:rPr>
              <w:t xml:space="preserve"> MBB failed in its aim to reduce the need for secondary balancing by the TSO.</w:t>
            </w:r>
          </w:p>
          <w:p w14:paraId="6B98BE91" w14:textId="77777777" w:rsidR="00646A9F" w:rsidRDefault="00646A9F">
            <w:pPr>
              <w:pStyle w:val="Default"/>
              <w:rPr>
                <w:sz w:val="21"/>
                <w:szCs w:val="21"/>
              </w:rPr>
            </w:pPr>
          </w:p>
          <w:p w14:paraId="1A6E252F" w14:textId="21B2FBAF" w:rsidR="00646A9F" w:rsidRDefault="00646A9F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The question the paper raises</w:t>
            </w:r>
            <w:r w:rsidR="000258BA">
              <w:rPr>
                <w:sz w:val="21"/>
                <w:szCs w:val="21"/>
              </w:rPr>
              <w:t xml:space="preserve"> therefore</w:t>
            </w:r>
            <w:r>
              <w:rPr>
                <w:sz w:val="21"/>
                <w:szCs w:val="21"/>
              </w:rPr>
              <w:t xml:space="preserve"> is whether MBB is actually required. </w:t>
            </w:r>
            <w:r w:rsidR="000258BA">
              <w:rPr>
                <w:sz w:val="21"/>
                <w:szCs w:val="21"/>
              </w:rPr>
              <w:t>It seems to be more a matter of faith than evidence that MBB is what incentivises shippers to improve their nominations</w:t>
            </w:r>
            <w:r w:rsidR="004F0B14">
              <w:rPr>
                <w:sz w:val="21"/>
                <w:szCs w:val="21"/>
              </w:rPr>
              <w:t xml:space="preserve"> vs say better information</w:t>
            </w:r>
            <w:r w:rsidR="000258BA">
              <w:rPr>
                <w:sz w:val="21"/>
                <w:szCs w:val="21"/>
              </w:rPr>
              <w:t xml:space="preserve">. </w:t>
            </w:r>
            <w:r>
              <w:rPr>
                <w:sz w:val="21"/>
                <w:szCs w:val="21"/>
              </w:rPr>
              <w:t xml:space="preserve">MBB had no effect on mismatches where shippers had good access to </w:t>
            </w:r>
            <w:proofErr w:type="spellStart"/>
            <w:r>
              <w:rPr>
                <w:sz w:val="21"/>
                <w:szCs w:val="21"/>
              </w:rPr>
              <w:t>ToU</w:t>
            </w:r>
            <w:proofErr w:type="spellEnd"/>
            <w:r>
              <w:rPr>
                <w:sz w:val="21"/>
                <w:szCs w:val="21"/>
              </w:rPr>
              <w:t xml:space="preserve"> data, such as at receipt points</w:t>
            </w:r>
            <w:r w:rsidR="000258BA">
              <w:rPr>
                <w:sz w:val="21"/>
                <w:szCs w:val="21"/>
              </w:rPr>
              <w:t>. When D+1 was introduced in December 2015 mismatches improved for shippers with a predominance of monthly metered information by giving them a new tool to better predict daily demand</w:t>
            </w:r>
            <w:r w:rsidR="000258BA">
              <w:rPr>
                <w:rStyle w:val="FootnoteReference"/>
                <w:sz w:val="21"/>
                <w:szCs w:val="21"/>
              </w:rPr>
              <w:footnoteReference w:id="1"/>
            </w:r>
            <w:r w:rsidR="000258BA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 xml:space="preserve"> </w:t>
            </w:r>
          </w:p>
          <w:p w14:paraId="3231C311" w14:textId="77777777" w:rsidR="000258BA" w:rsidRDefault="000258BA">
            <w:pPr>
              <w:pStyle w:val="Default"/>
              <w:rPr>
                <w:sz w:val="21"/>
                <w:szCs w:val="21"/>
              </w:rPr>
            </w:pPr>
          </w:p>
          <w:p w14:paraId="40A2C6E3" w14:textId="77777777" w:rsidR="00DA5A0F" w:rsidRDefault="00997152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Despite our scepticism that MBB has made any difference on behaviour we think that there are strong theoretical reasons as to why it should make a difference. </w:t>
            </w:r>
            <w:r w:rsidR="004F170F">
              <w:rPr>
                <w:sz w:val="21"/>
                <w:szCs w:val="21"/>
              </w:rPr>
              <w:t>This is also backed anecdotally by some</w:t>
            </w:r>
            <w:r>
              <w:rPr>
                <w:sz w:val="21"/>
                <w:szCs w:val="21"/>
              </w:rPr>
              <w:t xml:space="preserve"> </w:t>
            </w:r>
            <w:r w:rsidR="004F170F">
              <w:rPr>
                <w:sz w:val="21"/>
                <w:szCs w:val="21"/>
              </w:rPr>
              <w:t xml:space="preserve">of our </w:t>
            </w:r>
            <w:r>
              <w:rPr>
                <w:sz w:val="21"/>
                <w:szCs w:val="21"/>
              </w:rPr>
              <w:t>members</w:t>
            </w:r>
            <w:r w:rsidR="004F170F">
              <w:rPr>
                <w:sz w:val="21"/>
                <w:szCs w:val="21"/>
              </w:rPr>
              <w:t xml:space="preserve"> who </w:t>
            </w:r>
            <w:r>
              <w:rPr>
                <w:sz w:val="21"/>
                <w:szCs w:val="21"/>
              </w:rPr>
              <w:t>report that they are more diligent about nominating accurately than they were before the introduction of MBB</w:t>
            </w:r>
            <w:r w:rsidR="004F170F">
              <w:rPr>
                <w:sz w:val="21"/>
                <w:szCs w:val="21"/>
              </w:rPr>
              <w:t xml:space="preserve"> in order to avoid balancing charges to their site</w:t>
            </w:r>
            <w:r w:rsidR="00DA5A0F">
              <w:rPr>
                <w:sz w:val="21"/>
                <w:szCs w:val="21"/>
              </w:rPr>
              <w:t>.</w:t>
            </w:r>
          </w:p>
          <w:p w14:paraId="6A6E27F6" w14:textId="77777777" w:rsidR="004F0B14" w:rsidRDefault="004F0B14">
            <w:pPr>
              <w:pStyle w:val="Default"/>
              <w:rPr>
                <w:sz w:val="21"/>
                <w:szCs w:val="21"/>
              </w:rPr>
            </w:pPr>
          </w:p>
          <w:p w14:paraId="1E5CC7F7" w14:textId="65367F06" w:rsidR="004F0B14" w:rsidRDefault="004F0B14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MBB itself is confounded by other changes during the post MBB period including; </w:t>
            </w:r>
            <w:r w:rsidR="00D507A9">
              <w:rPr>
                <w:sz w:val="21"/>
                <w:szCs w:val="21"/>
              </w:rPr>
              <w:t>single ownership of transmission system</w:t>
            </w:r>
            <w:r w:rsidR="00841728">
              <w:rPr>
                <w:sz w:val="21"/>
                <w:szCs w:val="21"/>
              </w:rPr>
              <w:t xml:space="preserve"> </w:t>
            </w:r>
            <w:r w:rsidR="0016041F">
              <w:rPr>
                <w:sz w:val="21"/>
                <w:szCs w:val="21"/>
              </w:rPr>
              <w:t>(</w:t>
            </w:r>
            <w:r w:rsidR="00841728">
              <w:rPr>
                <w:sz w:val="21"/>
                <w:szCs w:val="21"/>
              </w:rPr>
              <w:t>June 2016</w:t>
            </w:r>
            <w:r w:rsidR="0016041F">
              <w:rPr>
                <w:sz w:val="21"/>
                <w:szCs w:val="21"/>
              </w:rPr>
              <w:t xml:space="preserve">), multiple adjustments to the mechanics of MBB itself (default rule changes, </w:t>
            </w:r>
            <w:r w:rsidR="00C120E8">
              <w:rPr>
                <w:sz w:val="21"/>
                <w:szCs w:val="21"/>
              </w:rPr>
              <w:t>ROIL factor changes (from 1 October 2016), and adjustment factor changes (Jan 2016</w:t>
            </w:r>
            <w:r>
              <w:rPr>
                <w:sz w:val="21"/>
                <w:szCs w:val="21"/>
              </w:rPr>
              <w:t>).</w:t>
            </w:r>
          </w:p>
          <w:p w14:paraId="30AC07E7" w14:textId="77777777" w:rsidR="004F0B14" w:rsidRDefault="004F0B14">
            <w:pPr>
              <w:pStyle w:val="Default"/>
              <w:rPr>
                <w:sz w:val="21"/>
                <w:szCs w:val="21"/>
              </w:rPr>
            </w:pPr>
          </w:p>
          <w:p w14:paraId="666702AE" w14:textId="23CBA7F6" w:rsidR="00BE11BE" w:rsidRDefault="00943EDE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To remove the effect of different changes within a review period i</w:t>
            </w:r>
            <w:r w:rsidR="004F0B14">
              <w:rPr>
                <w:sz w:val="21"/>
                <w:szCs w:val="21"/>
              </w:rPr>
              <w:t xml:space="preserve">t </w:t>
            </w:r>
            <w:r w:rsidR="00EA53D6">
              <w:rPr>
                <w:sz w:val="21"/>
                <w:szCs w:val="21"/>
              </w:rPr>
              <w:t>would</w:t>
            </w:r>
            <w:r w:rsidR="004F0B14">
              <w:rPr>
                <w:sz w:val="21"/>
                <w:szCs w:val="21"/>
              </w:rPr>
              <w:t xml:space="preserve"> be </w:t>
            </w:r>
            <w:r>
              <w:rPr>
                <w:sz w:val="21"/>
                <w:szCs w:val="21"/>
              </w:rPr>
              <w:t>better</w:t>
            </w:r>
            <w:r w:rsidR="004F0B14">
              <w:rPr>
                <w:sz w:val="21"/>
                <w:szCs w:val="21"/>
              </w:rPr>
              <w:t xml:space="preserve"> to divide the post MBB period into </w:t>
            </w:r>
            <w:r>
              <w:rPr>
                <w:sz w:val="21"/>
                <w:szCs w:val="21"/>
              </w:rPr>
              <w:t xml:space="preserve">separate </w:t>
            </w:r>
            <w:r w:rsidR="004F0B14">
              <w:rPr>
                <w:sz w:val="21"/>
                <w:szCs w:val="21"/>
              </w:rPr>
              <w:t xml:space="preserve">periods that </w:t>
            </w:r>
            <w:r>
              <w:rPr>
                <w:sz w:val="21"/>
                <w:szCs w:val="21"/>
              </w:rPr>
              <w:t>have some stability</w:t>
            </w:r>
            <w:r w:rsidR="00EA53D6">
              <w:rPr>
                <w:sz w:val="21"/>
                <w:szCs w:val="21"/>
              </w:rPr>
              <w:t xml:space="preserve"> and to compare these with pre MBB</w:t>
            </w:r>
            <w:r w:rsidR="00BE11BE">
              <w:rPr>
                <w:sz w:val="21"/>
                <w:szCs w:val="21"/>
              </w:rPr>
              <w:t xml:space="preserve"> i</w:t>
            </w:r>
            <w:r w:rsidR="00EA53D6">
              <w:rPr>
                <w:sz w:val="21"/>
                <w:szCs w:val="21"/>
              </w:rPr>
              <w:t>.</w:t>
            </w:r>
            <w:r w:rsidR="00BE11BE">
              <w:rPr>
                <w:sz w:val="21"/>
                <w:szCs w:val="21"/>
              </w:rPr>
              <w:t>e.</w:t>
            </w:r>
          </w:p>
          <w:p w14:paraId="33D7AB93" w14:textId="77777777" w:rsidR="00BE11BE" w:rsidRDefault="00BE11BE">
            <w:pPr>
              <w:pStyle w:val="Default"/>
              <w:rPr>
                <w:sz w:val="21"/>
                <w:szCs w:val="21"/>
              </w:rPr>
            </w:pPr>
          </w:p>
          <w:p w14:paraId="7083505F" w14:textId="794F25CF" w:rsidR="002026C6" w:rsidRDefault="00BE11BE" w:rsidP="002026C6">
            <w:pPr>
              <w:pStyle w:val="Default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 March 2016</w:t>
            </w:r>
            <w:r w:rsidR="002026C6">
              <w:rPr>
                <w:sz w:val="21"/>
                <w:szCs w:val="21"/>
              </w:rPr>
              <w:t xml:space="preserve"> – 31 September 2016</w:t>
            </w:r>
            <w:r>
              <w:rPr>
                <w:sz w:val="21"/>
                <w:szCs w:val="21"/>
              </w:rPr>
              <w:t xml:space="preserve"> </w:t>
            </w:r>
          </w:p>
          <w:p w14:paraId="4C4FA37F" w14:textId="251529D3" w:rsidR="00BE11BE" w:rsidRDefault="00BE11BE" w:rsidP="00BE11BE">
            <w:pPr>
              <w:pStyle w:val="Default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October 2016</w:t>
            </w:r>
            <w:r w:rsidR="002026C6">
              <w:rPr>
                <w:sz w:val="21"/>
                <w:szCs w:val="21"/>
              </w:rPr>
              <w:t xml:space="preserve"> – 30 March 2017</w:t>
            </w:r>
          </w:p>
          <w:p w14:paraId="76A16C0A" w14:textId="6295BA85" w:rsidR="00A44525" w:rsidRDefault="002026C6" w:rsidP="00BE11BE">
            <w:pPr>
              <w:pStyle w:val="Default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Post </w:t>
            </w:r>
            <w:r w:rsidR="00BE11BE">
              <w:rPr>
                <w:sz w:val="21"/>
                <w:szCs w:val="21"/>
              </w:rPr>
              <w:t>31 March 2017 (ROIL = 1.5)</w:t>
            </w:r>
          </w:p>
          <w:p w14:paraId="0945C127" w14:textId="77777777" w:rsidR="00D507A9" w:rsidRDefault="00D507A9">
            <w:pPr>
              <w:pStyle w:val="Default"/>
              <w:rPr>
                <w:sz w:val="21"/>
                <w:szCs w:val="21"/>
              </w:rPr>
            </w:pPr>
          </w:p>
          <w:p w14:paraId="101324C6" w14:textId="229160ED" w:rsidR="00943EDE" w:rsidRDefault="00EA53D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Period 1 settings are:</w:t>
            </w:r>
          </w:p>
          <w:p w14:paraId="2D5F2D1F" w14:textId="3752D75A" w:rsidR="00EA53D6" w:rsidRDefault="00EA53D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D+1 = yes</w:t>
            </w:r>
          </w:p>
          <w:p w14:paraId="3E4018EC" w14:textId="3E2F0853" w:rsidR="00EA53D6" w:rsidRDefault="00EA53D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ROIL = 2</w:t>
            </w:r>
          </w:p>
          <w:p w14:paraId="00C957F1" w14:textId="001C706A" w:rsidR="00705A94" w:rsidRDefault="00EA53D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Adjustment factor = 3%</w:t>
            </w:r>
          </w:p>
          <w:p w14:paraId="5E114861" w14:textId="77777777" w:rsidR="00EA53D6" w:rsidRDefault="00EA53D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Default rule = version 3</w:t>
            </w:r>
          </w:p>
          <w:p w14:paraId="5812A215" w14:textId="77777777" w:rsidR="00EA53D6" w:rsidRDefault="00EA53D6">
            <w:pPr>
              <w:pStyle w:val="Default"/>
              <w:rPr>
                <w:sz w:val="21"/>
                <w:szCs w:val="21"/>
              </w:rPr>
            </w:pPr>
          </w:p>
          <w:p w14:paraId="1596672F" w14:textId="77777777" w:rsidR="00EA53D6" w:rsidRDefault="00EA53D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Period 2</w:t>
            </w:r>
          </w:p>
          <w:p w14:paraId="46012C3F" w14:textId="6B8529A4" w:rsidR="00EA53D6" w:rsidRDefault="00EA53D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ROIL = 1.5</w:t>
            </w:r>
          </w:p>
          <w:p w14:paraId="6E9B7AA7" w14:textId="77777777" w:rsidR="00EA53D6" w:rsidRDefault="00EA53D6">
            <w:pPr>
              <w:pStyle w:val="Default"/>
              <w:rPr>
                <w:sz w:val="21"/>
                <w:szCs w:val="21"/>
              </w:rPr>
            </w:pPr>
          </w:p>
          <w:p w14:paraId="5DBD3F18" w14:textId="77777777" w:rsidR="00EA53D6" w:rsidRDefault="00EA53D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Period 3</w:t>
            </w:r>
          </w:p>
          <w:p w14:paraId="402A613F" w14:textId="4BD5D418" w:rsidR="00EA53D6" w:rsidRDefault="00EA53D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ROIL = 1.0</w:t>
            </w:r>
          </w:p>
          <w:p w14:paraId="7AE6A165" w14:textId="77777777" w:rsidR="00BA5A3A" w:rsidRDefault="00BA5A3A">
            <w:pPr>
              <w:pStyle w:val="Default"/>
              <w:rPr>
                <w:sz w:val="21"/>
                <w:szCs w:val="21"/>
              </w:rPr>
            </w:pPr>
          </w:p>
          <w:p w14:paraId="7648F8E6" w14:textId="40759BCB" w:rsidR="00C120E8" w:rsidRDefault="00C120E8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</w:tr>
      <w:tr w:rsidR="00A44525" w14:paraId="62065EB8" w14:textId="77777777" w:rsidTr="00EA53D6">
        <w:trPr>
          <w:trHeight w:val="861"/>
        </w:trPr>
        <w:tc>
          <w:tcPr>
            <w:tcW w:w="675" w:type="dxa"/>
          </w:tcPr>
          <w:p w14:paraId="4C809087" w14:textId="34E18C72" w:rsidR="00A44525" w:rsidRDefault="00A44525" w:rsidP="00FD005F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Q2: </w:t>
            </w:r>
          </w:p>
        </w:tc>
        <w:tc>
          <w:tcPr>
            <w:tcW w:w="2268" w:type="dxa"/>
          </w:tcPr>
          <w:p w14:paraId="7B3564A7" w14:textId="77777777" w:rsidR="00A44525" w:rsidRDefault="00A44525" w:rsidP="00FD005F">
            <w:pPr>
              <w:pStyle w:val="Default"/>
              <w:rPr>
                <w:sz w:val="21"/>
                <w:szCs w:val="21"/>
              </w:rPr>
            </w:pPr>
            <w:r w:rsidRPr="00A44525">
              <w:rPr>
                <w:sz w:val="21"/>
                <w:szCs w:val="21"/>
              </w:rPr>
              <w:t>Do you consider that there is merit in extending the analysis so that a full year pre- and post-MBB-implementation analysis can be done?</w:t>
            </w:r>
          </w:p>
        </w:tc>
        <w:tc>
          <w:tcPr>
            <w:tcW w:w="6299" w:type="dxa"/>
          </w:tcPr>
          <w:p w14:paraId="3B3EE44C" w14:textId="77777777" w:rsidR="0071409D" w:rsidRDefault="00943EDE" w:rsidP="0071409D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We think that the post analysis should be of interest to First Gas for developing the balancing rules in the new code</w:t>
            </w:r>
            <w:r w:rsidR="00EA53D6">
              <w:rPr>
                <w:sz w:val="21"/>
                <w:szCs w:val="21"/>
              </w:rPr>
              <w:t>.</w:t>
            </w:r>
          </w:p>
          <w:p w14:paraId="76C90874" w14:textId="77777777" w:rsidR="00EA53D6" w:rsidRDefault="00EA53D6" w:rsidP="0071409D">
            <w:pPr>
              <w:pStyle w:val="Default"/>
              <w:rPr>
                <w:sz w:val="21"/>
                <w:szCs w:val="21"/>
              </w:rPr>
            </w:pPr>
          </w:p>
          <w:p w14:paraId="4A636429" w14:textId="7D0B2FE8" w:rsidR="00EA53D6" w:rsidRDefault="00EA53D6" w:rsidP="0071409D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As per Q1 we would encourage that the analysis is done on different periods where there are no changes being made to avoid confounding difficulties in the analysis</w:t>
            </w:r>
          </w:p>
        </w:tc>
      </w:tr>
      <w:tr w:rsidR="00A44525" w14:paraId="2CCE1939" w14:textId="77777777" w:rsidTr="00EA53D6">
        <w:trPr>
          <w:trHeight w:val="721"/>
        </w:trPr>
        <w:tc>
          <w:tcPr>
            <w:tcW w:w="675" w:type="dxa"/>
          </w:tcPr>
          <w:p w14:paraId="296CB347" w14:textId="77777777" w:rsidR="00A44525" w:rsidRDefault="00A44525" w:rsidP="00FD005F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Q3: </w:t>
            </w:r>
          </w:p>
        </w:tc>
        <w:tc>
          <w:tcPr>
            <w:tcW w:w="2268" w:type="dxa"/>
          </w:tcPr>
          <w:p w14:paraId="4A267CFD" w14:textId="77777777" w:rsidR="00A44525" w:rsidRDefault="00A44525" w:rsidP="00FD005F">
            <w:pPr>
              <w:pStyle w:val="Default"/>
              <w:rPr>
                <w:sz w:val="21"/>
                <w:szCs w:val="21"/>
              </w:rPr>
            </w:pPr>
            <w:r w:rsidRPr="00A44525">
              <w:rPr>
                <w:sz w:val="21"/>
                <w:szCs w:val="21"/>
              </w:rPr>
              <w:t>Do you consider that there is merit in asking pipeline users to re-assess the costs of changing their systems and business practices to accommodate MBB (given that some stakeholders believe the original cost estimates used in the CBA were too low)?</w:t>
            </w:r>
          </w:p>
        </w:tc>
        <w:tc>
          <w:tcPr>
            <w:tcW w:w="6299" w:type="dxa"/>
          </w:tcPr>
          <w:p w14:paraId="4195D9B7" w14:textId="36D0F9CB" w:rsidR="00A44525" w:rsidRDefault="00EA53D6" w:rsidP="00FD005F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MGUG members have not seen any material increase in internal costs related to MBB. Nominations were already a requirement on users prior to MBB.</w:t>
            </w:r>
          </w:p>
        </w:tc>
      </w:tr>
    </w:tbl>
    <w:p w14:paraId="79AA6E14" w14:textId="77777777" w:rsidR="00A44525" w:rsidRDefault="00A44525" w:rsidP="00EA53D6"/>
    <w:sectPr w:rsidR="00A4452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D3CDF4" w14:textId="77777777" w:rsidR="005C5FCD" w:rsidRDefault="005C5FCD" w:rsidP="0062579E">
      <w:pPr>
        <w:spacing w:after="0" w:line="240" w:lineRule="auto"/>
      </w:pPr>
      <w:r>
        <w:separator/>
      </w:r>
    </w:p>
  </w:endnote>
  <w:endnote w:type="continuationSeparator" w:id="0">
    <w:p w14:paraId="3C6B17BE" w14:textId="77777777" w:rsidR="005C5FCD" w:rsidRDefault="005C5FCD" w:rsidP="00625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A0295D" w14:textId="77777777" w:rsidR="005C5FCD" w:rsidRDefault="005C5FCD" w:rsidP="0062579E">
      <w:pPr>
        <w:spacing w:after="0" w:line="240" w:lineRule="auto"/>
      </w:pPr>
      <w:r>
        <w:separator/>
      </w:r>
    </w:p>
  </w:footnote>
  <w:footnote w:type="continuationSeparator" w:id="0">
    <w:p w14:paraId="48C830A8" w14:textId="77777777" w:rsidR="005C5FCD" w:rsidRDefault="005C5FCD" w:rsidP="0062579E">
      <w:pPr>
        <w:spacing w:after="0" w:line="240" w:lineRule="auto"/>
      </w:pPr>
      <w:r>
        <w:continuationSeparator/>
      </w:r>
    </w:p>
  </w:footnote>
  <w:footnote w:id="1">
    <w:p w14:paraId="1BEAFF13" w14:textId="77777777" w:rsidR="000258BA" w:rsidRDefault="000258BA" w:rsidP="000258BA">
      <w:pPr>
        <w:pStyle w:val="FootnoteText"/>
      </w:pPr>
      <w:r>
        <w:rPr>
          <w:rStyle w:val="FootnoteReference"/>
        </w:rPr>
        <w:footnoteRef/>
      </w:r>
      <w:r>
        <w:t xml:space="preserve"> North pipeline lower shipped quantities are inferred to be </w:t>
      </w:r>
      <w:proofErr w:type="spellStart"/>
      <w:r>
        <w:t>Trustpower</w:t>
      </w:r>
      <w:proofErr w:type="spellEnd"/>
      <w:r>
        <w:t xml:space="preserve"> and Mercury from gas reconciliation data. These two retailers, unlike others (</w:t>
      </w:r>
      <w:proofErr w:type="spellStart"/>
      <w:r>
        <w:t>Ongas</w:t>
      </w:r>
      <w:proofErr w:type="spellEnd"/>
      <w:r>
        <w:t xml:space="preserve">, Genesis, Greymouth, Nova) do not service the </w:t>
      </w:r>
      <w:proofErr w:type="spellStart"/>
      <w:r>
        <w:t>ToU</w:t>
      </w:r>
      <w:proofErr w:type="spellEnd"/>
      <w:r>
        <w:t xml:space="preserve"> industrial market but are predominantly reliant on monthly metred mass market hence would see greatest improvement in reconciliation via D+1 pilot.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35D465" w14:textId="5F11E54C" w:rsidR="0062579E" w:rsidRDefault="00A44525" w:rsidP="0062579E">
    <w:pPr>
      <w:rPr>
        <w:bCs/>
        <w:sz w:val="21"/>
        <w:szCs w:val="21"/>
      </w:rPr>
    </w:pPr>
    <w:r>
      <w:rPr>
        <w:bCs/>
        <w:sz w:val="21"/>
        <w:szCs w:val="21"/>
      </w:rPr>
      <w:t>16 December 2016</w:t>
    </w:r>
  </w:p>
  <w:p w14:paraId="1A21FD16" w14:textId="77777777" w:rsidR="00A44525" w:rsidRPr="0071409D" w:rsidRDefault="00A44525" w:rsidP="0071409D">
    <w:pPr>
      <w:jc w:val="center"/>
      <w:rPr>
        <w:b/>
        <w:bCs/>
        <w:sz w:val="32"/>
        <w:szCs w:val="21"/>
      </w:rPr>
    </w:pPr>
    <w:r w:rsidRPr="0071409D">
      <w:rPr>
        <w:b/>
        <w:bCs/>
        <w:sz w:val="32"/>
        <w:szCs w:val="21"/>
      </w:rPr>
      <w:t>MARKET BASED BALANCING REVIEW</w:t>
    </w:r>
  </w:p>
  <w:p w14:paraId="24F6F907" w14:textId="77777777" w:rsidR="0062579E" w:rsidRDefault="0062579E" w:rsidP="0062579E">
    <w:pPr>
      <w:pStyle w:val="Header"/>
    </w:pPr>
    <w:r>
      <w:rPr>
        <w:b/>
        <w:bCs/>
        <w:sz w:val="21"/>
        <w:szCs w:val="21"/>
      </w:rPr>
      <w:t xml:space="preserve">Submission prepared by: Major Gas Users Group (MGUG) – </w:t>
    </w:r>
    <w:hyperlink r:id="rId1" w:history="1">
      <w:r>
        <w:rPr>
          <w:rStyle w:val="Hyperlink"/>
          <w:b/>
          <w:bCs/>
          <w:sz w:val="21"/>
          <w:szCs w:val="21"/>
        </w:rPr>
        <w:t>len.houwers@aretelimited.com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7610B1"/>
    <w:multiLevelType w:val="hybridMultilevel"/>
    <w:tmpl w:val="24427D1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79E"/>
    <w:rsid w:val="000258BA"/>
    <w:rsid w:val="00030A46"/>
    <w:rsid w:val="00035709"/>
    <w:rsid w:val="0007626D"/>
    <w:rsid w:val="000A0097"/>
    <w:rsid w:val="000D5996"/>
    <w:rsid w:val="001341D0"/>
    <w:rsid w:val="001543F2"/>
    <w:rsid w:val="0016041F"/>
    <w:rsid w:val="001B735C"/>
    <w:rsid w:val="002016E8"/>
    <w:rsid w:val="002026C6"/>
    <w:rsid w:val="0021619B"/>
    <w:rsid w:val="00251F52"/>
    <w:rsid w:val="002D0FC0"/>
    <w:rsid w:val="00322ECE"/>
    <w:rsid w:val="00363523"/>
    <w:rsid w:val="00363C5D"/>
    <w:rsid w:val="00384B2B"/>
    <w:rsid w:val="003E20DF"/>
    <w:rsid w:val="00405443"/>
    <w:rsid w:val="0045375F"/>
    <w:rsid w:val="004537D0"/>
    <w:rsid w:val="004B15EE"/>
    <w:rsid w:val="004B63F8"/>
    <w:rsid w:val="004D4BEA"/>
    <w:rsid w:val="004F0B14"/>
    <w:rsid w:val="004F170F"/>
    <w:rsid w:val="004F281F"/>
    <w:rsid w:val="005C5FCD"/>
    <w:rsid w:val="005F224B"/>
    <w:rsid w:val="0062579E"/>
    <w:rsid w:val="00646A9F"/>
    <w:rsid w:val="006A098A"/>
    <w:rsid w:val="006A4421"/>
    <w:rsid w:val="006C59FB"/>
    <w:rsid w:val="00705A94"/>
    <w:rsid w:val="0071409D"/>
    <w:rsid w:val="007401FE"/>
    <w:rsid w:val="0074717A"/>
    <w:rsid w:val="007659B7"/>
    <w:rsid w:val="007702BF"/>
    <w:rsid w:val="007B40FF"/>
    <w:rsid w:val="007E4F02"/>
    <w:rsid w:val="007E683F"/>
    <w:rsid w:val="00841728"/>
    <w:rsid w:val="00855999"/>
    <w:rsid w:val="0089244D"/>
    <w:rsid w:val="008A5634"/>
    <w:rsid w:val="00903FF0"/>
    <w:rsid w:val="00943EDE"/>
    <w:rsid w:val="009628E5"/>
    <w:rsid w:val="00997152"/>
    <w:rsid w:val="009B1BF6"/>
    <w:rsid w:val="009B76B9"/>
    <w:rsid w:val="009C66C1"/>
    <w:rsid w:val="009D6D82"/>
    <w:rsid w:val="009F1BAB"/>
    <w:rsid w:val="00A04B7E"/>
    <w:rsid w:val="00A424A8"/>
    <w:rsid w:val="00A44525"/>
    <w:rsid w:val="00A47BA1"/>
    <w:rsid w:val="00A839C5"/>
    <w:rsid w:val="00AA020C"/>
    <w:rsid w:val="00AA0F4A"/>
    <w:rsid w:val="00AB5F67"/>
    <w:rsid w:val="00AD3F90"/>
    <w:rsid w:val="00B02CAC"/>
    <w:rsid w:val="00B11DEC"/>
    <w:rsid w:val="00B27E6E"/>
    <w:rsid w:val="00B63F16"/>
    <w:rsid w:val="00B77AD0"/>
    <w:rsid w:val="00BA5A3A"/>
    <w:rsid w:val="00BE11BE"/>
    <w:rsid w:val="00BF0736"/>
    <w:rsid w:val="00BF4229"/>
    <w:rsid w:val="00C03E06"/>
    <w:rsid w:val="00C120E8"/>
    <w:rsid w:val="00C21223"/>
    <w:rsid w:val="00C55620"/>
    <w:rsid w:val="00C85325"/>
    <w:rsid w:val="00C95BBF"/>
    <w:rsid w:val="00CC3824"/>
    <w:rsid w:val="00D31982"/>
    <w:rsid w:val="00D37D0D"/>
    <w:rsid w:val="00D47EFC"/>
    <w:rsid w:val="00D507A9"/>
    <w:rsid w:val="00DA5A0F"/>
    <w:rsid w:val="00E27EBB"/>
    <w:rsid w:val="00EA53D6"/>
    <w:rsid w:val="00F01D94"/>
    <w:rsid w:val="00F41465"/>
    <w:rsid w:val="00F566D4"/>
    <w:rsid w:val="00FA667F"/>
    <w:rsid w:val="00FD3894"/>
    <w:rsid w:val="00FE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47F1A"/>
  <w15:docId w15:val="{AE39C38D-9EF0-45FE-A249-CB917410B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5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579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25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79E"/>
  </w:style>
  <w:style w:type="paragraph" w:styleId="Footer">
    <w:name w:val="footer"/>
    <w:basedOn w:val="Normal"/>
    <w:link w:val="FooterChar"/>
    <w:uiPriority w:val="99"/>
    <w:unhideWhenUsed/>
    <w:rsid w:val="00625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79E"/>
  </w:style>
  <w:style w:type="character" w:styleId="Hyperlink">
    <w:name w:val="Hyperlink"/>
    <w:basedOn w:val="DefaultParagraphFont"/>
    <w:uiPriority w:val="99"/>
    <w:semiHidden/>
    <w:unhideWhenUsed/>
    <w:rsid w:val="0062579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11D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1D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1D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D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D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DEC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A5A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5A3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5A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8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len.houwers@aretelimite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0B847-BE5E-4B9E-9535-E80150E89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3272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 Houwers</dc:creator>
  <cp:lastModifiedBy>Richard Hale</cp:lastModifiedBy>
  <cp:revision>2</cp:revision>
  <cp:lastPrinted>2016-06-10T01:36:00Z</cp:lastPrinted>
  <dcterms:created xsi:type="dcterms:W3CDTF">2016-12-16T03:04:00Z</dcterms:created>
  <dcterms:modified xsi:type="dcterms:W3CDTF">2016-12-16T03:04:00Z</dcterms:modified>
</cp:coreProperties>
</file>