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266" w:rsidRDefault="00463EEB" w:rsidP="000548E7">
      <w:pPr>
        <w:tabs>
          <w:tab w:val="left" w:pos="4019"/>
        </w:tabs>
      </w:pPr>
      <w:bookmarkStart w:id="0" w:name="_GoBack"/>
      <w:bookmarkEnd w:id="0"/>
    </w:p>
    <w:p w:rsidR="00DC0105" w:rsidRDefault="00463EEB" w:rsidP="005250AC"/>
    <w:p w:rsidR="00A338FD" w:rsidRDefault="00463EEB" w:rsidP="005250AC"/>
    <w:p w:rsidR="00886A48" w:rsidRDefault="00463EEB" w:rsidP="005250AC"/>
    <w:p w:rsidR="00886A48" w:rsidRDefault="00463EEB" w:rsidP="005250AC"/>
    <w:p w:rsidR="00886A48" w:rsidRDefault="00463EEB" w:rsidP="005250AC"/>
    <w:p w:rsidR="00886A48" w:rsidRDefault="00463EEB" w:rsidP="005250AC"/>
    <w:p w:rsidR="002E6A13" w:rsidRDefault="00463EEB" w:rsidP="005250AC"/>
    <w:p w:rsidR="00EB5404" w:rsidRDefault="00463EEB" w:rsidP="005250AC"/>
    <w:p w:rsidR="00716009" w:rsidRDefault="00A44F35" w:rsidP="00716009">
      <w:r>
        <w:t xml:space="preserve">6 December </w:t>
      </w:r>
      <w:r w:rsidR="00E33ACF">
        <w:t>2017</w:t>
      </w:r>
    </w:p>
    <w:p w:rsidR="00716009" w:rsidRDefault="00463EEB" w:rsidP="00716009"/>
    <w:p w:rsidR="00716009" w:rsidRDefault="00E33ACF" w:rsidP="00716009">
      <w:r>
        <w:t xml:space="preserve">Ian </w:t>
      </w:r>
      <w:r w:rsidR="004A1F7F">
        <w:t>Wilson</w:t>
      </w:r>
    </w:p>
    <w:p w:rsidR="00716009" w:rsidRDefault="00E33ACF" w:rsidP="00716009">
      <w:r>
        <w:t>Gas Industry Company Ltd</w:t>
      </w:r>
    </w:p>
    <w:p w:rsidR="00716009" w:rsidRDefault="00463EEB" w:rsidP="00716009"/>
    <w:p w:rsidR="00716009" w:rsidRDefault="00E33ACF" w:rsidP="00716009">
      <w:pPr>
        <w:tabs>
          <w:tab w:val="left" w:pos="1134"/>
        </w:tabs>
      </w:pPr>
      <w:r>
        <w:t xml:space="preserve">By e-mail: </w:t>
      </w:r>
      <w:r>
        <w:tab/>
      </w:r>
      <w:hyperlink r:id="rId8" w:history="1">
        <w:r w:rsidRPr="00BD2B2F">
          <w:rPr>
            <w:rStyle w:val="Hyperlink"/>
          </w:rPr>
          <w:t>info@gasindustry.co.nz</w:t>
        </w:r>
      </w:hyperlink>
    </w:p>
    <w:p w:rsidR="00716009" w:rsidRDefault="00463EEB" w:rsidP="00716009"/>
    <w:p w:rsidR="00716009" w:rsidRDefault="00463EEB" w:rsidP="00716009">
      <w:pPr>
        <w:pStyle w:val="NoSpacing"/>
        <w:rPr>
          <w:b/>
        </w:rPr>
      </w:pPr>
    </w:p>
    <w:p w:rsidR="00716009" w:rsidRPr="000972AC" w:rsidRDefault="00D104DC" w:rsidP="00716009">
      <w:pPr>
        <w:pStyle w:val="NoSpacing"/>
        <w:rPr>
          <w:b/>
        </w:rPr>
      </w:pPr>
      <w:r>
        <w:rPr>
          <w:b/>
        </w:rPr>
        <w:t>First Gas</w:t>
      </w:r>
      <w:r w:rsidR="00A44F35">
        <w:rPr>
          <w:b/>
        </w:rPr>
        <w:t xml:space="preserve"> additional drafting Agenda Items A - E</w:t>
      </w:r>
    </w:p>
    <w:p w:rsidR="00716009" w:rsidRDefault="00463EEB" w:rsidP="00716009">
      <w:pPr>
        <w:pStyle w:val="NoSpacing"/>
      </w:pPr>
    </w:p>
    <w:p w:rsidR="00716009" w:rsidRDefault="00E33ACF" w:rsidP="00716009">
      <w:pPr>
        <w:pStyle w:val="NoSpacing"/>
      </w:pPr>
      <w:r>
        <w:t xml:space="preserve">Dear Ian, </w:t>
      </w:r>
    </w:p>
    <w:p w:rsidR="0076013A" w:rsidRDefault="0076013A" w:rsidP="0076013A">
      <w:pPr>
        <w:spacing w:before="100" w:beforeAutospacing="1" w:after="100" w:afterAutospacing="1"/>
        <w:rPr>
          <w:rFonts w:ascii="Calibri" w:hAnsi="Calibri"/>
          <w:color w:val="000000"/>
        </w:rPr>
      </w:pPr>
      <w:r>
        <w:rPr>
          <w:rFonts w:ascii="Calibri" w:hAnsi="Calibri"/>
          <w:color w:val="000000"/>
        </w:rPr>
        <w:t xml:space="preserve">Thank you for the opportunity to comment on the </w:t>
      </w:r>
      <w:r w:rsidR="00A44F35">
        <w:rPr>
          <w:rFonts w:ascii="Calibri" w:hAnsi="Calibri"/>
          <w:color w:val="000000"/>
        </w:rPr>
        <w:t xml:space="preserve">additional drafting provided by First Gas. </w:t>
      </w:r>
    </w:p>
    <w:p w:rsidR="00A44F35" w:rsidRPr="008707EC" w:rsidRDefault="00A44F35" w:rsidP="00A44F35">
      <w:pPr>
        <w:rPr>
          <w:b/>
        </w:rPr>
      </w:pPr>
      <w:r>
        <w:rPr>
          <w:b/>
        </w:rPr>
        <w:t>Liability</w:t>
      </w:r>
    </w:p>
    <w:p w:rsidR="00A44F35" w:rsidRDefault="00A44F35" w:rsidP="00A44F35"/>
    <w:p w:rsidR="00A44F35" w:rsidRDefault="00A44F35" w:rsidP="00A44F35">
      <w:pPr>
        <w:pStyle w:val="ListParagraph"/>
        <w:numPr>
          <w:ilvl w:val="0"/>
          <w:numId w:val="38"/>
        </w:numPr>
        <w:ind w:left="567" w:hanging="567"/>
      </w:pPr>
      <w:r>
        <w:t>In the synopsis provided by FGL in its memorandum in respect of Action Item D made mention of clarifying:</w:t>
      </w:r>
    </w:p>
    <w:p w:rsidR="00A44F35" w:rsidRDefault="00A44F35" w:rsidP="00A44F35">
      <w:pPr>
        <w:ind w:left="567" w:hanging="567"/>
      </w:pPr>
    </w:p>
    <w:p w:rsidR="00A44F35" w:rsidRPr="00B14C39" w:rsidRDefault="00A44F35" w:rsidP="00A44F35">
      <w:pPr>
        <w:pStyle w:val="ListParagraph"/>
        <w:numPr>
          <w:ilvl w:val="0"/>
          <w:numId w:val="39"/>
        </w:numPr>
        <w:spacing w:before="0" w:after="120"/>
        <w:ind w:left="851" w:hanging="284"/>
        <w:rPr>
          <w:rFonts w:ascii="Arial" w:eastAsia="Times New Roman" w:hAnsi="Arial" w:cs="Arial"/>
          <w:i/>
          <w:sz w:val="20"/>
          <w:lang w:eastAsia="en-NZ"/>
        </w:rPr>
      </w:pPr>
      <w:r w:rsidRPr="00B14C39">
        <w:rPr>
          <w:rFonts w:ascii="Arial" w:eastAsia="Times New Roman" w:hAnsi="Arial" w:cs="Arial"/>
          <w:i/>
          <w:sz w:val="20"/>
          <w:lang w:eastAsia="en-NZ"/>
        </w:rPr>
        <w:t>First Gas will use reasonable endeavours to identify the party at fault and pass on information to the party suffering loss;</w:t>
      </w:r>
    </w:p>
    <w:p w:rsidR="00A44F35" w:rsidRPr="00B14C39" w:rsidRDefault="00A44F35" w:rsidP="00A44F35">
      <w:pPr>
        <w:pStyle w:val="ListParagraph"/>
        <w:numPr>
          <w:ilvl w:val="0"/>
          <w:numId w:val="39"/>
        </w:numPr>
        <w:spacing w:before="0" w:after="120"/>
        <w:ind w:left="851" w:hanging="284"/>
        <w:rPr>
          <w:rFonts w:ascii="Arial" w:eastAsia="Times New Roman" w:hAnsi="Arial" w:cs="Arial"/>
          <w:i/>
          <w:sz w:val="20"/>
          <w:lang w:eastAsia="en-NZ"/>
        </w:rPr>
      </w:pPr>
      <w:r w:rsidRPr="00B14C39">
        <w:rPr>
          <w:rFonts w:ascii="Arial" w:eastAsia="Times New Roman" w:hAnsi="Arial" w:cs="Arial"/>
          <w:i/>
          <w:sz w:val="20"/>
          <w:lang w:eastAsia="en-NZ"/>
        </w:rPr>
        <w:t>First Gas will assist with the process, pass on information, but need not be involved in defending the claim; and</w:t>
      </w:r>
    </w:p>
    <w:p w:rsidR="00A44F35" w:rsidRDefault="00A44F35" w:rsidP="00A44F35">
      <w:pPr>
        <w:pStyle w:val="ListParagraph"/>
        <w:numPr>
          <w:ilvl w:val="0"/>
          <w:numId w:val="39"/>
        </w:numPr>
        <w:spacing w:before="0" w:after="120"/>
        <w:ind w:left="851" w:hanging="284"/>
        <w:rPr>
          <w:rFonts w:ascii="Arial" w:eastAsia="Times New Roman" w:hAnsi="Arial" w:cs="Arial"/>
          <w:sz w:val="20"/>
          <w:lang w:eastAsia="en-NZ"/>
        </w:rPr>
      </w:pPr>
      <w:r w:rsidRPr="00B14C39">
        <w:rPr>
          <w:rFonts w:ascii="Arial" w:eastAsia="Times New Roman" w:hAnsi="Arial" w:cs="Arial"/>
          <w:i/>
          <w:sz w:val="20"/>
          <w:lang w:eastAsia="en-NZ"/>
        </w:rPr>
        <w:t>If a party is identified by First Gas as being at fault, First Gas will pass on information about the defending party to the shipper for them to pursue the defending party to recover loss</w:t>
      </w:r>
      <w:r w:rsidRPr="00B14C39">
        <w:rPr>
          <w:rFonts w:ascii="Arial" w:eastAsia="Times New Roman" w:hAnsi="Arial" w:cs="Arial"/>
          <w:sz w:val="20"/>
          <w:lang w:eastAsia="en-NZ"/>
        </w:rPr>
        <w:t xml:space="preserve">. </w:t>
      </w:r>
    </w:p>
    <w:p w:rsidR="00A44F35" w:rsidRPr="00B14C39" w:rsidRDefault="00A44F35" w:rsidP="00A44F35">
      <w:pPr>
        <w:pStyle w:val="ListParagraph"/>
        <w:spacing w:before="0" w:after="120"/>
        <w:ind w:left="851"/>
        <w:rPr>
          <w:rFonts w:ascii="Arial" w:eastAsia="Times New Roman" w:hAnsi="Arial" w:cs="Arial"/>
          <w:sz w:val="20"/>
          <w:lang w:eastAsia="en-NZ"/>
        </w:rPr>
      </w:pPr>
    </w:p>
    <w:p w:rsidR="00A44F35" w:rsidRDefault="00A44F35" w:rsidP="00A44F35">
      <w:pPr>
        <w:pStyle w:val="ListParagraph"/>
        <w:numPr>
          <w:ilvl w:val="0"/>
          <w:numId w:val="38"/>
        </w:numPr>
        <w:ind w:left="567" w:hanging="567"/>
      </w:pPr>
      <w:r>
        <w:t xml:space="preserve">However, we found no provisions that matched these statements in the mark ups provided.  It may be that FGL intends to include these provisions in its December 8 draft but if not then these need to be addressed.  </w:t>
      </w:r>
    </w:p>
    <w:p w:rsidR="00A44F35" w:rsidRDefault="00A44F35" w:rsidP="00A44F35">
      <w:pPr>
        <w:pStyle w:val="ListParagraph"/>
        <w:ind w:left="567"/>
      </w:pPr>
    </w:p>
    <w:p w:rsidR="00A44F35" w:rsidRPr="00851B38" w:rsidRDefault="00A44F35" w:rsidP="00A44F35">
      <w:pPr>
        <w:pStyle w:val="ListParagraph"/>
        <w:numPr>
          <w:ilvl w:val="0"/>
          <w:numId w:val="38"/>
        </w:numPr>
        <w:ind w:left="567" w:hanging="567"/>
      </w:pPr>
      <w:r w:rsidRPr="00851B38">
        <w:t>In addressing the issue of subrogated claims with the new 16.12, the proposal made by FGL continues to consider only Shippers and ignores the issue of claims that may need to be made by/</w:t>
      </w:r>
      <w:proofErr w:type="gramStart"/>
      <w:r w:rsidRPr="00851B38">
        <w:t>against  Interconnected</w:t>
      </w:r>
      <w:proofErr w:type="gramEnd"/>
      <w:r w:rsidRPr="00851B38">
        <w:t xml:space="preserve"> Parties. We believe the GTAC as it stands doesn’t allow </w:t>
      </w:r>
      <w:r>
        <w:t xml:space="preserve">all </w:t>
      </w:r>
      <w:r w:rsidRPr="00851B38">
        <w:t>parties using FGL’s network to follow a clear chain of liability in all circumstances.</w:t>
      </w:r>
    </w:p>
    <w:p w:rsidR="00A44F35" w:rsidRDefault="00A44F35" w:rsidP="00A44F35">
      <w:pPr>
        <w:pStyle w:val="ListParagraph"/>
        <w:ind w:left="567"/>
      </w:pPr>
    </w:p>
    <w:p w:rsidR="00A44F35" w:rsidRDefault="00A44F35" w:rsidP="00A44F35">
      <w:pPr>
        <w:pStyle w:val="ListParagraph"/>
        <w:numPr>
          <w:ilvl w:val="0"/>
          <w:numId w:val="38"/>
        </w:numPr>
        <w:ind w:left="567" w:hanging="567"/>
      </w:pPr>
      <w:r w:rsidRPr="004128FC">
        <w:t xml:space="preserve">While the new clause 16.12 goes some way to addressing the flow of liability between a breaching party and the party that suffers loss, it is incomplete. Given the various limitations and exclusions in the Code (clauses 12.10, 16.1 and 16.3 by way of example), in order for such a provision to be effective the losses incurred by </w:t>
      </w:r>
      <w:r>
        <w:t xml:space="preserve">a </w:t>
      </w:r>
      <w:r w:rsidRPr="004128FC">
        <w:t>party that is harmed need</w:t>
      </w:r>
      <w:r>
        <w:t>s</w:t>
      </w:r>
      <w:r w:rsidRPr="004128FC">
        <w:t xml:space="preserve"> to be deemed to be </w:t>
      </w:r>
      <w:r>
        <w:t xml:space="preserve">FGL </w:t>
      </w:r>
      <w:r w:rsidRPr="004128FC">
        <w:t xml:space="preserve">losses and any potential recovery by </w:t>
      </w:r>
      <w:r>
        <w:t xml:space="preserve">FGL </w:t>
      </w:r>
      <w:r w:rsidRPr="004128FC">
        <w:t xml:space="preserve">should not be jeopardised by the breaching party being able to argue that </w:t>
      </w:r>
      <w:r>
        <w:t xml:space="preserve">FGL </w:t>
      </w:r>
      <w:r w:rsidRPr="004128FC">
        <w:t xml:space="preserve">can itself avoid liability on the basis that it can invoke a limitation or exclusion that would not be available to the breaching party.  For instance, if a party was to under-inject into the transmission system in breach of its obligations to </w:t>
      </w:r>
      <w:r>
        <w:t xml:space="preserve">FGL </w:t>
      </w:r>
      <w:r w:rsidRPr="004128FC">
        <w:t xml:space="preserve">and </w:t>
      </w:r>
      <w:r w:rsidRPr="004128FC">
        <w:lastRenderedPageBreak/>
        <w:t xml:space="preserve">as a result of that under-injection </w:t>
      </w:r>
      <w:r>
        <w:t xml:space="preserve">FGL </w:t>
      </w:r>
      <w:r w:rsidRPr="004128FC">
        <w:t xml:space="preserve">was forced to curtail other parties causing those other parties significant loss, the breaching party should not be able to avoid liability in respect of those third party losses simply because </w:t>
      </w:r>
      <w:r>
        <w:t xml:space="preserve">FGL </w:t>
      </w:r>
      <w:r w:rsidRPr="004128FC">
        <w:t xml:space="preserve">was acting as an RPO in curtailing those third parties.  </w:t>
      </w:r>
      <w:r>
        <w:t xml:space="preserve">FGL </w:t>
      </w:r>
      <w:r w:rsidRPr="004128FC">
        <w:t>must be satisfied that its solution will</w:t>
      </w:r>
      <w:r>
        <w:t xml:space="preserve"> always allow the Shipper (or Interconnected </w:t>
      </w:r>
      <w:r w:rsidRPr="004128FC">
        <w:t>P</w:t>
      </w:r>
      <w:r>
        <w:t>arty</w:t>
      </w:r>
      <w:r w:rsidRPr="004128FC">
        <w:t xml:space="preserve"> under the relevant ICA) that suffers loss as a result of a breach of the Code by another Shipper (or breach of anot</w:t>
      </w:r>
      <w:r>
        <w:t>her ICA by another Interconnected Party</w:t>
      </w:r>
      <w:r w:rsidRPr="004128FC">
        <w:t>) to recover that loss subject only to the caps.</w:t>
      </w:r>
    </w:p>
    <w:p w:rsidR="00A44F35" w:rsidRDefault="00A44F35" w:rsidP="00A44F35">
      <w:pPr>
        <w:rPr>
          <w:b/>
        </w:rPr>
      </w:pPr>
    </w:p>
    <w:p w:rsidR="00A44F35" w:rsidRPr="008707EC" w:rsidRDefault="00A44F35" w:rsidP="00A44F35">
      <w:pPr>
        <w:rPr>
          <w:b/>
        </w:rPr>
      </w:pPr>
      <w:r w:rsidRPr="008707EC">
        <w:rPr>
          <w:b/>
        </w:rPr>
        <w:t>Agreed Hourly Profiles</w:t>
      </w:r>
      <w:r>
        <w:rPr>
          <w:b/>
        </w:rPr>
        <w:t xml:space="preserve"> (“AHP”)</w:t>
      </w:r>
    </w:p>
    <w:p w:rsidR="00A44F35" w:rsidRDefault="00A44F35" w:rsidP="00A44F35"/>
    <w:p w:rsidR="00A44F35" w:rsidRDefault="00A44F35" w:rsidP="00A44F35">
      <w:pPr>
        <w:pStyle w:val="ListParagraph"/>
        <w:numPr>
          <w:ilvl w:val="0"/>
          <w:numId w:val="38"/>
        </w:numPr>
        <w:ind w:left="567" w:hanging="567"/>
      </w:pPr>
      <w:r>
        <w:t xml:space="preserve">In clarifying the application of Agreed Hourly Profiles, </w:t>
      </w:r>
      <w:proofErr w:type="spellStart"/>
      <w:r>
        <w:t>Methanex</w:t>
      </w:r>
      <w:proofErr w:type="spellEnd"/>
      <w:r>
        <w:t xml:space="preserve"> is concerned that FGL will allow the use of AHPs, and peaking tolerances around those profiles, far beyond the legitimate extent of such a mechanism, particularly where it places no cost upon the party benefiting from the use of an AHP.  </w:t>
      </w:r>
    </w:p>
    <w:p w:rsidR="00A44F35" w:rsidRDefault="00A44F35" w:rsidP="00A44F35">
      <w:pPr>
        <w:ind w:left="567" w:hanging="567"/>
      </w:pPr>
    </w:p>
    <w:p w:rsidR="00A44F35" w:rsidRDefault="00A44F35" w:rsidP="00A44F35">
      <w:pPr>
        <w:pStyle w:val="ListParagraph"/>
        <w:numPr>
          <w:ilvl w:val="0"/>
          <w:numId w:val="38"/>
        </w:numPr>
        <w:ind w:left="567" w:hanging="567"/>
      </w:pPr>
      <w:r>
        <w:t xml:space="preserve">Although FGL has replaced the term “may change substantially from Hour to Hour” in section 7.1 with “unusually variable”,  it remains unclear to </w:t>
      </w:r>
      <w:proofErr w:type="spellStart"/>
      <w:r>
        <w:t>Methanex</w:t>
      </w:r>
      <w:proofErr w:type="spellEnd"/>
      <w:r>
        <w:t xml:space="preserve"> as to whether FGL intends to allow a wide application of AHP to provide End-users with peaky load to use AHPs on a frequent basis  at no cost. If this is the intent, it conflicts with the principle previously put forward by FGL to “ensure peaky loads pay more for their disproportionate effects”.</w:t>
      </w:r>
    </w:p>
    <w:p w:rsidR="00A44F35" w:rsidRDefault="00A44F35" w:rsidP="00A44F35">
      <w:pPr>
        <w:pStyle w:val="ListParagraph"/>
      </w:pPr>
    </w:p>
    <w:p w:rsidR="00A44F35" w:rsidRDefault="00A44F35" w:rsidP="00A44F35">
      <w:pPr>
        <w:pStyle w:val="ListParagraph"/>
        <w:numPr>
          <w:ilvl w:val="0"/>
          <w:numId w:val="38"/>
        </w:numPr>
        <w:ind w:left="567" w:hanging="567"/>
      </w:pPr>
      <w:proofErr w:type="spellStart"/>
      <w:proofErr w:type="gramStart"/>
      <w:r>
        <w:t>Methanex</w:t>
      </w:r>
      <w:proofErr w:type="spellEnd"/>
      <w:r>
        <w:t xml:space="preserve">  considers</w:t>
      </w:r>
      <w:proofErr w:type="gramEnd"/>
      <w:r>
        <w:t xml:space="preserve"> that the parameters for approving AHPs should be tightened and/or those who benefit from the regular use of AHPs should provide compensation for the use of that greater flexibility.  </w:t>
      </w:r>
    </w:p>
    <w:p w:rsidR="00A44F35" w:rsidRDefault="00A44F35" w:rsidP="00A44F35">
      <w:pPr>
        <w:ind w:left="567" w:hanging="567"/>
      </w:pPr>
    </w:p>
    <w:p w:rsidR="00A44F35" w:rsidRDefault="00A44F35" w:rsidP="00A44F35">
      <w:pPr>
        <w:pStyle w:val="ListParagraph"/>
        <w:numPr>
          <w:ilvl w:val="0"/>
          <w:numId w:val="38"/>
        </w:numPr>
        <w:ind w:left="567" w:hanging="567"/>
      </w:pPr>
      <w:r>
        <w:t xml:space="preserve">Adding further to </w:t>
      </w:r>
      <w:proofErr w:type="spellStart"/>
      <w:r>
        <w:t>Methanex</w:t>
      </w:r>
      <w:proofErr w:type="spellEnd"/>
      <w:r>
        <w:t>’ concern is the revised formulation of MHQ which provides a Shipper using an AHP with increased tolerance flexibility.</w:t>
      </w:r>
      <w:r>
        <w:t xml:space="preserve"> </w:t>
      </w:r>
    </w:p>
    <w:p w:rsidR="00A44F35" w:rsidRDefault="00A44F35" w:rsidP="00A44F35">
      <w:pPr>
        <w:ind w:left="567" w:hanging="567"/>
      </w:pPr>
    </w:p>
    <w:p w:rsidR="00A44F35" w:rsidRDefault="00A44F35" w:rsidP="00A44F35">
      <w:pPr>
        <w:pStyle w:val="ListParagraph"/>
        <w:numPr>
          <w:ilvl w:val="0"/>
          <w:numId w:val="38"/>
        </w:numPr>
        <w:ind w:left="567" w:hanging="567"/>
      </w:pPr>
      <w:r>
        <w:t>Based on remarks made by FGL in previous documents, it has indicated that:</w:t>
      </w:r>
    </w:p>
    <w:p w:rsidR="00A44F35" w:rsidRDefault="00A44F35" w:rsidP="00A44F35">
      <w:pPr>
        <w:ind w:left="567" w:hanging="567"/>
      </w:pPr>
    </w:p>
    <w:p w:rsidR="00A44F35" w:rsidRDefault="00A44F35" w:rsidP="00A44F35">
      <w:pPr>
        <w:pStyle w:val="ListParagraph"/>
        <w:numPr>
          <w:ilvl w:val="0"/>
          <w:numId w:val="40"/>
        </w:numPr>
      </w:pPr>
      <w:r>
        <w:t xml:space="preserve">Specific HDQ/DDQ will be tailored to the profiles of each particular Dedicated Delivery Point; and </w:t>
      </w:r>
    </w:p>
    <w:p w:rsidR="00A44F35" w:rsidRDefault="00A44F35" w:rsidP="00A44F35">
      <w:pPr>
        <w:pStyle w:val="ListParagraph"/>
      </w:pPr>
    </w:p>
    <w:p w:rsidR="00A44F35" w:rsidRDefault="00A44F35" w:rsidP="00A44F35">
      <w:pPr>
        <w:pStyle w:val="ListParagraph"/>
        <w:numPr>
          <w:ilvl w:val="0"/>
          <w:numId w:val="40"/>
        </w:numPr>
      </w:pPr>
      <w:r>
        <w:t>The prospect that at particular Dedicated Delivery Points it might provide a Specific HDQ/DDQ that is higher than MDQ/16.</w:t>
      </w:r>
    </w:p>
    <w:p w:rsidR="00A44F35" w:rsidRDefault="00A44F35" w:rsidP="00A44F35"/>
    <w:p w:rsidR="00A44F35" w:rsidRDefault="00A44F35" w:rsidP="00A44F35">
      <w:pPr>
        <w:ind w:left="360"/>
      </w:pPr>
      <w:proofErr w:type="spellStart"/>
      <w:r>
        <w:t>Methanex</w:t>
      </w:r>
      <w:proofErr w:type="spellEnd"/>
      <w:r>
        <w:t xml:space="preserve"> is concerned that the application of a case-by-case approach to setting Specific HDQ/DDQ combined with a permissive approach to permitted AHPs could be </w:t>
      </w:r>
      <w:r w:rsidRPr="00851B38">
        <w:t>discriminatory</w:t>
      </w:r>
      <w:r>
        <w:t>, effectively favouring users with more variable loads than those with generally flat loads.</w:t>
      </w:r>
    </w:p>
    <w:p w:rsidR="00A44F35" w:rsidRDefault="00A44F35" w:rsidP="00A44F35">
      <w:pPr>
        <w:pStyle w:val="ListParagraph"/>
        <w:ind w:left="567" w:hanging="567"/>
      </w:pPr>
    </w:p>
    <w:p w:rsidR="00A44F35" w:rsidRDefault="00A44F35" w:rsidP="00A44F35">
      <w:pPr>
        <w:pStyle w:val="ListParagraph"/>
        <w:numPr>
          <w:ilvl w:val="0"/>
          <w:numId w:val="38"/>
        </w:numPr>
      </w:pPr>
      <w:r>
        <w:t>We consider that in contemplating  Specific HDQ/DDQ higher than MDQ/16, together with AHP’s and providing a general exclusion of peaking liability at non-Dedicated Delivery Points</w:t>
      </w:r>
      <w:r w:rsidRPr="00851B38">
        <w:t xml:space="preserve">, FGL will encourage increased peaking.  This has implications for </w:t>
      </w:r>
      <w:r>
        <w:t xml:space="preserve">the </w:t>
      </w:r>
      <w:r>
        <w:t xml:space="preserve">stable </w:t>
      </w:r>
      <w:r>
        <w:t xml:space="preserve">management of the network in terms of line pack and pipeline pressure </w:t>
      </w:r>
      <w:r w:rsidRPr="00851B38">
        <w:t xml:space="preserve">and </w:t>
      </w:r>
      <w:r>
        <w:t xml:space="preserve">raises </w:t>
      </w:r>
      <w:r w:rsidRPr="00851B38">
        <w:t>the prospect that FGL would also seek to expand the capacity of the pipeline network to cater for the increased peaking (that is not necessarily priced to the causer)</w:t>
      </w:r>
      <w:r>
        <w:t>.</w:t>
      </w:r>
    </w:p>
    <w:p w:rsidR="00A44F35" w:rsidRDefault="00A44F35" w:rsidP="00A44F35"/>
    <w:p w:rsidR="00A44F35" w:rsidRPr="006F5192" w:rsidRDefault="00A44F35" w:rsidP="00A44F35">
      <w:pPr>
        <w:rPr>
          <w:b/>
        </w:rPr>
      </w:pPr>
      <w:r w:rsidRPr="006F5192">
        <w:rPr>
          <w:b/>
        </w:rPr>
        <w:t>Interconnection Agreements</w:t>
      </w:r>
    </w:p>
    <w:p w:rsidR="00A44F35" w:rsidRDefault="00A44F35" w:rsidP="00A44F35">
      <w:pPr>
        <w:ind w:left="567" w:hanging="567"/>
      </w:pPr>
    </w:p>
    <w:p w:rsidR="00A44F35" w:rsidRPr="00FD2AA9" w:rsidRDefault="00A44F35" w:rsidP="00A44F35">
      <w:pPr>
        <w:pStyle w:val="ListParagraph"/>
        <w:numPr>
          <w:ilvl w:val="0"/>
          <w:numId w:val="38"/>
        </w:numPr>
      </w:pPr>
      <w:r>
        <w:t xml:space="preserve">In response to the mark-ups provided by FGL in respect to </w:t>
      </w:r>
      <w:proofErr w:type="gramStart"/>
      <w:r>
        <w:t>Section  7</w:t>
      </w:r>
      <w:proofErr w:type="gramEnd"/>
      <w:r>
        <w:t xml:space="preserve">, </w:t>
      </w:r>
      <w:proofErr w:type="spellStart"/>
      <w:r>
        <w:t>Methanex</w:t>
      </w:r>
      <w:proofErr w:type="spellEnd"/>
      <w:r>
        <w:t xml:space="preserve"> reiterates it’s view that FGLs insertion of section 7.13 is no substitute for the proper incorporation of </w:t>
      </w:r>
      <w:r>
        <w:lastRenderedPageBreak/>
        <w:t>Interconnected Party rights and obligations within the Code.  Section 7.13 is essentially a set of contract parameters rather than a comprehensive set of rules that provide parties certainty to the contractual regime they are required to sign up to with the monopoly provider of transmission services.</w:t>
      </w:r>
    </w:p>
    <w:p w:rsidR="004A1F7F" w:rsidRDefault="004A1F7F" w:rsidP="00314682"/>
    <w:p w:rsidR="007A6185" w:rsidRDefault="007A6185" w:rsidP="00314682"/>
    <w:p w:rsidR="004A1F7F" w:rsidRDefault="004A1F7F" w:rsidP="00314682"/>
    <w:p w:rsidR="00913CAD" w:rsidRDefault="00314682" w:rsidP="00314682">
      <w:r>
        <w:t>Yours sincerely</w:t>
      </w:r>
    </w:p>
    <w:p w:rsidR="00314682" w:rsidRDefault="00314682" w:rsidP="00314682"/>
    <w:p w:rsidR="00314682" w:rsidRDefault="00314682" w:rsidP="00314682"/>
    <w:p w:rsidR="00314682" w:rsidRDefault="00314682" w:rsidP="00314682">
      <w:r>
        <w:t>Phil Watson</w:t>
      </w:r>
    </w:p>
    <w:p w:rsidR="00EE63B9" w:rsidRDefault="007A6185" w:rsidP="004B68F1">
      <w:pPr>
        <w:sectPr w:rsidR="00EE63B9">
          <w:headerReference w:type="default" r:id="rId9"/>
          <w:headerReference w:type="first" r:id="rId10"/>
          <w:pgSz w:w="11906" w:h="16838" w:code="9"/>
          <w:pgMar w:top="1247" w:right="1440" w:bottom="1276" w:left="1440" w:header="709" w:footer="709" w:gutter="0"/>
          <w:cols w:space="708"/>
          <w:titlePg/>
          <w:docGrid w:linePitch="360"/>
        </w:sectPr>
      </w:pPr>
      <w:proofErr w:type="spellStart"/>
      <w:r>
        <w:t>Methanex</w:t>
      </w:r>
      <w:proofErr w:type="spellEnd"/>
      <w:r>
        <w:t xml:space="preserve"> New Zealand Ltd</w:t>
      </w:r>
    </w:p>
    <w:p w:rsidR="0065143E" w:rsidRDefault="00463EEB" w:rsidP="004B68F1"/>
    <w:sectPr w:rsidR="0065143E" w:rsidSect="001E66DF">
      <w:pgSz w:w="11906" w:h="16838"/>
      <w:pgMar w:top="1247"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EEB" w:rsidRDefault="00463EEB" w:rsidP="00042AC9">
      <w:pPr>
        <w:spacing w:before="0" w:after="0"/>
      </w:pPr>
      <w:r>
        <w:separator/>
      </w:r>
    </w:p>
  </w:endnote>
  <w:endnote w:type="continuationSeparator" w:id="0">
    <w:p w:rsidR="00463EEB" w:rsidRDefault="00463EEB" w:rsidP="00042AC9">
      <w:pPr>
        <w:spacing w:before="0" w:after="0"/>
      </w:pPr>
      <w:r>
        <w:continuationSeparator/>
      </w:r>
    </w:p>
  </w:endnote>
  <w:endnote w:type="continuationNotice" w:id="1">
    <w:p w:rsidR="00463EEB" w:rsidRDefault="00463EE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EEB" w:rsidRDefault="00463EEB" w:rsidP="00042AC9">
      <w:pPr>
        <w:spacing w:before="0" w:after="0"/>
      </w:pPr>
      <w:r>
        <w:separator/>
      </w:r>
    </w:p>
  </w:footnote>
  <w:footnote w:type="continuationSeparator" w:id="0">
    <w:p w:rsidR="00463EEB" w:rsidRDefault="00463EEB" w:rsidP="00042AC9">
      <w:pPr>
        <w:spacing w:before="0" w:after="0"/>
      </w:pPr>
      <w:r>
        <w:continuationSeparator/>
      </w:r>
    </w:p>
  </w:footnote>
  <w:footnote w:type="continuationNotice" w:id="1">
    <w:p w:rsidR="00463EEB" w:rsidRDefault="00463EE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64" w:rsidRDefault="00463EEB">
    <w:pPr>
      <w:pStyle w:val="Header"/>
    </w:pPr>
  </w:p>
  <w:p w:rsidR="001C5064" w:rsidRDefault="00463E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64" w:rsidRDefault="00251219">
    <w:pPr>
      <w:pStyle w:val="Header"/>
    </w:pPr>
    <w:r>
      <w:rPr>
        <w:noProof/>
        <w:lang w:val="en-NZ" w:eastAsia="en-NZ"/>
      </w:rPr>
      <mc:AlternateContent>
        <mc:Choice Requires="wps">
          <w:drawing>
            <wp:anchor distT="0" distB="0" distL="114300" distR="114300" simplePos="0" relativeHeight="251660288" behindDoc="0" locked="0" layoutInCell="1" allowOverlap="1" wp14:anchorId="448225F9" wp14:editId="4FF79719">
              <wp:simplePos x="0" y="0"/>
              <wp:positionH relativeFrom="column">
                <wp:posOffset>3829050</wp:posOffset>
              </wp:positionH>
              <wp:positionV relativeFrom="paragraph">
                <wp:posOffset>407035</wp:posOffset>
              </wp:positionV>
              <wp:extent cx="2228850" cy="11144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14425"/>
                      </a:xfrm>
                      <a:prstGeom prst="rect">
                        <a:avLst/>
                      </a:prstGeom>
                      <a:solidFill>
                        <a:srgbClr val="FFFFFF"/>
                      </a:solidFill>
                      <a:ln w="9525">
                        <a:noFill/>
                        <a:miter lim="800000"/>
                        <a:headEnd/>
                        <a:tailEnd/>
                      </a:ln>
                    </wps:spPr>
                    <wps:txbx>
                      <w:txbxContent>
                        <w:p w:rsidR="001C5064" w:rsidRPr="00886A48" w:rsidRDefault="00E33ACF" w:rsidP="00F1269A">
                          <w:pPr>
                            <w:rPr>
                              <w:sz w:val="20"/>
                              <w:szCs w:val="20"/>
                            </w:rPr>
                          </w:pPr>
                          <w:r w:rsidRPr="00886A48">
                            <w:rPr>
                              <w:sz w:val="20"/>
                              <w:szCs w:val="20"/>
                            </w:rPr>
                            <w:t>Level 3, 36 Kitchener Street</w:t>
                          </w:r>
                        </w:p>
                        <w:p w:rsidR="001C5064" w:rsidRPr="00886A48" w:rsidRDefault="00E33ACF" w:rsidP="00F1269A">
                          <w:pPr>
                            <w:rPr>
                              <w:sz w:val="20"/>
                              <w:szCs w:val="20"/>
                            </w:rPr>
                          </w:pPr>
                          <w:r w:rsidRPr="00886A48">
                            <w:rPr>
                              <w:sz w:val="20"/>
                              <w:szCs w:val="20"/>
                            </w:rPr>
                            <w:t xml:space="preserve">PO Box 4299, Shortland Street – 1140 </w:t>
                          </w:r>
                        </w:p>
                        <w:p w:rsidR="001C5064" w:rsidRPr="00886A48" w:rsidRDefault="00E33ACF" w:rsidP="00F1269A">
                          <w:pPr>
                            <w:rPr>
                              <w:sz w:val="20"/>
                              <w:szCs w:val="20"/>
                            </w:rPr>
                          </w:pPr>
                          <w:r w:rsidRPr="00886A48">
                            <w:rPr>
                              <w:sz w:val="20"/>
                              <w:szCs w:val="20"/>
                            </w:rPr>
                            <w:t>Auckland, New Zealand</w:t>
                          </w:r>
                        </w:p>
                        <w:p w:rsidR="001C5064" w:rsidRPr="00886A48" w:rsidRDefault="00463EEB" w:rsidP="00F1269A">
                          <w:pPr>
                            <w:rPr>
                              <w:sz w:val="20"/>
                              <w:szCs w:val="20"/>
                            </w:rPr>
                          </w:pPr>
                        </w:p>
                        <w:p w:rsidR="001C5064" w:rsidRPr="00886A48" w:rsidRDefault="00E33ACF" w:rsidP="00F1269A">
                          <w:pPr>
                            <w:rPr>
                              <w:sz w:val="20"/>
                              <w:szCs w:val="20"/>
                            </w:rPr>
                          </w:pPr>
                          <w:r w:rsidRPr="00886A48">
                            <w:rPr>
                              <w:sz w:val="20"/>
                              <w:szCs w:val="20"/>
                            </w:rPr>
                            <w:t>T: (09) 356 9300</w:t>
                          </w:r>
                        </w:p>
                        <w:p w:rsidR="001C5064" w:rsidRPr="00886A48" w:rsidRDefault="00E33ACF" w:rsidP="00F1269A">
                          <w:pPr>
                            <w:rPr>
                              <w:sz w:val="20"/>
                              <w:szCs w:val="20"/>
                            </w:rPr>
                          </w:pPr>
                          <w:r w:rsidRPr="00886A48">
                            <w:rPr>
                              <w:sz w:val="20"/>
                              <w:szCs w:val="20"/>
                            </w:rPr>
                            <w:t>F: (06) 356 9301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5pt;margin-top:32.05pt;width:175.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" stroked="f">
              <v:textbox>
                <w:txbxContent>
                  <w:p w:rsidR="001C5064" w:rsidRPr="00886A48" w:rsidRDefault="00E33ACF" w:rsidP="00F1269A">
                    <w:pPr>
                      <w:rPr>
                        <w:sz w:val="20"/>
                        <w:szCs w:val="20"/>
                      </w:rPr>
                    </w:pPr>
                    <w:r w:rsidRPr="00886A48">
                      <w:rPr>
                        <w:sz w:val="20"/>
                        <w:szCs w:val="20"/>
                      </w:rPr>
                      <w:t>Level 3, 36 Kitchener Street</w:t>
                    </w:r>
                  </w:p>
                  <w:p w:rsidR="001C5064" w:rsidRPr="00886A48" w:rsidRDefault="00E33ACF" w:rsidP="00F1269A">
                    <w:pPr>
                      <w:rPr>
                        <w:sz w:val="20"/>
                        <w:szCs w:val="20"/>
                      </w:rPr>
                    </w:pPr>
                    <w:r w:rsidRPr="00886A48">
                      <w:rPr>
                        <w:sz w:val="20"/>
                        <w:szCs w:val="20"/>
                      </w:rPr>
                      <w:t xml:space="preserve">PO Box 4299, Shortland Street – 1140 </w:t>
                    </w:r>
                  </w:p>
                  <w:p w:rsidR="001C5064" w:rsidRPr="00886A48" w:rsidRDefault="00E33ACF" w:rsidP="00F1269A">
                    <w:pPr>
                      <w:rPr>
                        <w:sz w:val="20"/>
                        <w:szCs w:val="20"/>
                      </w:rPr>
                    </w:pPr>
                    <w:r w:rsidRPr="00886A48">
                      <w:rPr>
                        <w:sz w:val="20"/>
                        <w:szCs w:val="20"/>
                      </w:rPr>
                      <w:t>Auckland, New Zealand</w:t>
                    </w:r>
                  </w:p>
                  <w:p w:rsidR="001C5064" w:rsidRPr="00886A48" w:rsidRDefault="00463EEB" w:rsidP="00F1269A">
                    <w:pPr>
                      <w:rPr>
                        <w:sz w:val="20"/>
                        <w:szCs w:val="20"/>
                      </w:rPr>
                    </w:pPr>
                  </w:p>
                  <w:p w:rsidR="001C5064" w:rsidRPr="00886A48" w:rsidRDefault="00E33ACF" w:rsidP="00F1269A">
                    <w:pPr>
                      <w:rPr>
                        <w:sz w:val="20"/>
                        <w:szCs w:val="20"/>
                      </w:rPr>
                    </w:pPr>
                    <w:r w:rsidRPr="00886A48">
                      <w:rPr>
                        <w:sz w:val="20"/>
                        <w:szCs w:val="20"/>
                      </w:rPr>
                      <w:t>T: (09) 356 9300</w:t>
                    </w:r>
                  </w:p>
                  <w:p w:rsidR="001C5064" w:rsidRPr="00886A48" w:rsidRDefault="00E33ACF" w:rsidP="00F1269A">
                    <w:pPr>
                      <w:rPr>
                        <w:sz w:val="20"/>
                        <w:szCs w:val="20"/>
                      </w:rPr>
                    </w:pPr>
                    <w:r w:rsidRPr="00886A48">
                      <w:rPr>
                        <w:sz w:val="20"/>
                        <w:szCs w:val="20"/>
                      </w:rPr>
                      <w:t>F: (06) 356 9301</w:t>
                    </w:r>
                  </w:p>
                </w:txbxContent>
              </v:textbox>
            </v:shape>
          </w:pict>
        </mc:Fallback>
      </mc:AlternateContent>
    </w:r>
    <w:r w:rsidR="00E33ACF" w:rsidRPr="00F1269A">
      <w:rPr>
        <w:noProof/>
        <w:lang w:val="en-NZ" w:eastAsia="en-NZ"/>
      </w:rPr>
      <w:drawing>
        <wp:anchor distT="0" distB="0" distL="114300" distR="114300" simplePos="0" relativeHeight="251659264" behindDoc="1" locked="0" layoutInCell="1" allowOverlap="1" wp14:anchorId="686C8B85" wp14:editId="27316DAC">
          <wp:simplePos x="0" y="0"/>
          <wp:positionH relativeFrom="column">
            <wp:posOffset>-171450</wp:posOffset>
          </wp:positionH>
          <wp:positionV relativeFrom="paragraph">
            <wp:posOffset>340360</wp:posOffset>
          </wp:positionV>
          <wp:extent cx="1956435" cy="1304290"/>
          <wp:effectExtent l="0" t="0" r="5715" b="0"/>
          <wp:wrapTight wrapText="bothSides">
            <wp:wrapPolygon edited="0">
              <wp:start x="0" y="0"/>
              <wp:lineTo x="0" y="21137"/>
              <wp:lineTo x="14092" y="21137"/>
              <wp:lineTo x="14512" y="17036"/>
              <wp:lineTo x="13671" y="15774"/>
              <wp:lineTo x="21453" y="14828"/>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pressed.jpg.png"/>
                  <pic:cNvPicPr/>
                </pic:nvPicPr>
                <pic:blipFill>
                  <a:blip r:embed="rId1">
                    <a:extLst>
                      <a:ext uri="{28A0092B-C50C-407E-A947-70E740481C1C}">
                        <a14:useLocalDpi xmlns:a14="http://schemas.microsoft.com/office/drawing/2010/main" val="0"/>
                      </a:ext>
                    </a:extLst>
                  </a:blip>
                  <a:stretch>
                    <a:fillRect/>
                  </a:stretch>
                </pic:blipFill>
                <pic:spPr>
                  <a:xfrm>
                    <a:off x="0" y="0"/>
                    <a:ext cx="1956435" cy="13042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10B"/>
    <w:multiLevelType w:val="hybridMultilevel"/>
    <w:tmpl w:val="483E0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D50E85"/>
    <w:multiLevelType w:val="hybridMultilevel"/>
    <w:tmpl w:val="6A86E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047372"/>
    <w:multiLevelType w:val="hybridMultilevel"/>
    <w:tmpl w:val="5A1AF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0135A69"/>
    <w:multiLevelType w:val="hybridMultilevel"/>
    <w:tmpl w:val="9886E6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A10CD4"/>
    <w:multiLevelType w:val="hybridMultilevel"/>
    <w:tmpl w:val="9F86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10125C"/>
    <w:multiLevelType w:val="hybridMultilevel"/>
    <w:tmpl w:val="ED964A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CA0537"/>
    <w:multiLevelType w:val="hybridMultilevel"/>
    <w:tmpl w:val="61427C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D5862F2"/>
    <w:multiLevelType w:val="hybridMultilevel"/>
    <w:tmpl w:val="8BC6909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F669CE"/>
    <w:multiLevelType w:val="hybridMultilevel"/>
    <w:tmpl w:val="9E6E8116"/>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21587383"/>
    <w:multiLevelType w:val="hybridMultilevel"/>
    <w:tmpl w:val="09ECE9EE"/>
    <w:lvl w:ilvl="0" w:tplc="61A8F51E">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9E1842"/>
    <w:multiLevelType w:val="hybridMultilevel"/>
    <w:tmpl w:val="BF0CA8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49A6CC7"/>
    <w:multiLevelType w:val="hybridMultilevel"/>
    <w:tmpl w:val="D0D4DA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AC77CA"/>
    <w:multiLevelType w:val="hybridMultilevel"/>
    <w:tmpl w:val="93408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6042541"/>
    <w:multiLevelType w:val="hybridMultilevel"/>
    <w:tmpl w:val="CFFA2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80B5EDC"/>
    <w:multiLevelType w:val="hybridMultilevel"/>
    <w:tmpl w:val="C742BA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28836107"/>
    <w:multiLevelType w:val="hybridMultilevel"/>
    <w:tmpl w:val="21B0A86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nsid w:val="2A1F2462"/>
    <w:multiLevelType w:val="hybridMultilevel"/>
    <w:tmpl w:val="F68CF4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F9E7716"/>
    <w:multiLevelType w:val="hybridMultilevel"/>
    <w:tmpl w:val="C3E25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AD286C"/>
    <w:multiLevelType w:val="hybridMultilevel"/>
    <w:tmpl w:val="C42AF5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26D2F6E"/>
    <w:multiLevelType w:val="hybridMultilevel"/>
    <w:tmpl w:val="6896AD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333770F3"/>
    <w:multiLevelType w:val="hybridMultilevel"/>
    <w:tmpl w:val="447003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57D3286"/>
    <w:multiLevelType w:val="hybridMultilevel"/>
    <w:tmpl w:val="F72ACD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6022283"/>
    <w:multiLevelType w:val="hybridMultilevel"/>
    <w:tmpl w:val="436285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9BF0BC4"/>
    <w:multiLevelType w:val="hybridMultilevel"/>
    <w:tmpl w:val="329E3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88120D"/>
    <w:multiLevelType w:val="hybridMultilevel"/>
    <w:tmpl w:val="75165F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D84432"/>
    <w:multiLevelType w:val="hybridMultilevel"/>
    <w:tmpl w:val="D4B0FBC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nsid w:val="46A616E2"/>
    <w:multiLevelType w:val="hybridMultilevel"/>
    <w:tmpl w:val="14845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E50687"/>
    <w:multiLevelType w:val="hybridMultilevel"/>
    <w:tmpl w:val="3E7810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98B0F2D"/>
    <w:multiLevelType w:val="hybridMultilevel"/>
    <w:tmpl w:val="D3F054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FA820AE"/>
    <w:multiLevelType w:val="hybridMultilevel"/>
    <w:tmpl w:val="DEF87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4F4A67"/>
    <w:multiLevelType w:val="hybridMultilevel"/>
    <w:tmpl w:val="1388B1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7732DBF"/>
    <w:multiLevelType w:val="hybridMultilevel"/>
    <w:tmpl w:val="43DCD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C05787A"/>
    <w:multiLevelType w:val="hybridMultilevel"/>
    <w:tmpl w:val="48B6D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7709D4"/>
    <w:multiLevelType w:val="hybridMultilevel"/>
    <w:tmpl w:val="EA3EE3F8"/>
    <w:lvl w:ilvl="0" w:tplc="00507550">
      <w:numFmt w:val="bullet"/>
      <w:lvlText w:val="•"/>
      <w:lvlJc w:val="left"/>
      <w:pPr>
        <w:ind w:left="1080" w:hanging="72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657E6964"/>
    <w:multiLevelType w:val="hybridMultilevel"/>
    <w:tmpl w:val="C1B01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8B4118F"/>
    <w:multiLevelType w:val="hybridMultilevel"/>
    <w:tmpl w:val="AB928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E30197"/>
    <w:multiLevelType w:val="hybridMultilevel"/>
    <w:tmpl w:val="42DA2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DF10166"/>
    <w:multiLevelType w:val="hybridMultilevel"/>
    <w:tmpl w:val="91A03C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6EE2280F"/>
    <w:multiLevelType w:val="hybridMultilevel"/>
    <w:tmpl w:val="032C2B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68468A7"/>
    <w:multiLevelType w:val="hybridMultilevel"/>
    <w:tmpl w:val="5E822E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2"/>
  </w:num>
  <w:num w:numId="3">
    <w:abstractNumId w:val="16"/>
  </w:num>
  <w:num w:numId="4">
    <w:abstractNumId w:val="11"/>
  </w:num>
  <w:num w:numId="5">
    <w:abstractNumId w:val="3"/>
  </w:num>
  <w:num w:numId="6">
    <w:abstractNumId w:val="20"/>
  </w:num>
  <w:num w:numId="7">
    <w:abstractNumId w:val="34"/>
  </w:num>
  <w:num w:numId="8">
    <w:abstractNumId w:val="1"/>
  </w:num>
  <w:num w:numId="9">
    <w:abstractNumId w:val="22"/>
  </w:num>
  <w:num w:numId="10">
    <w:abstractNumId w:val="5"/>
  </w:num>
  <w:num w:numId="11">
    <w:abstractNumId w:val="28"/>
  </w:num>
  <w:num w:numId="12">
    <w:abstractNumId w:val="38"/>
  </w:num>
  <w:num w:numId="13">
    <w:abstractNumId w:val="24"/>
  </w:num>
  <w:num w:numId="14">
    <w:abstractNumId w:val="17"/>
  </w:num>
  <w:num w:numId="15">
    <w:abstractNumId w:val="29"/>
  </w:num>
  <w:num w:numId="16">
    <w:abstractNumId w:val="30"/>
  </w:num>
  <w:num w:numId="17">
    <w:abstractNumId w:val="27"/>
  </w:num>
  <w:num w:numId="18">
    <w:abstractNumId w:val="21"/>
  </w:num>
  <w:num w:numId="19">
    <w:abstractNumId w:val="13"/>
  </w:num>
  <w:num w:numId="20">
    <w:abstractNumId w:val="39"/>
  </w:num>
  <w:num w:numId="21">
    <w:abstractNumId w:val="23"/>
  </w:num>
  <w:num w:numId="22">
    <w:abstractNumId w:val="35"/>
  </w:num>
  <w:num w:numId="23">
    <w:abstractNumId w:val="6"/>
  </w:num>
  <w:num w:numId="24">
    <w:abstractNumId w:val="26"/>
  </w:num>
  <w:num w:numId="25">
    <w:abstractNumId w:val="31"/>
  </w:num>
  <w:num w:numId="26">
    <w:abstractNumId w:val="18"/>
  </w:num>
  <w:num w:numId="27">
    <w:abstractNumId w:val="36"/>
  </w:num>
  <w:num w:numId="28">
    <w:abstractNumId w:val="12"/>
  </w:num>
  <w:num w:numId="29">
    <w:abstractNumId w:val="37"/>
  </w:num>
  <w:num w:numId="30">
    <w:abstractNumId w:val="1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3"/>
  </w:num>
  <w:num w:numId="35">
    <w:abstractNumId w:val="0"/>
  </w:num>
  <w:num w:numId="36">
    <w:abstractNumId w:val="2"/>
  </w:num>
  <w:num w:numId="37">
    <w:abstractNumId w:val="8"/>
  </w:num>
  <w:num w:numId="38">
    <w:abstractNumId w:val="9"/>
  </w:num>
  <w:num w:numId="39">
    <w:abstractNumId w:val="1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C9"/>
    <w:rsid w:val="00042AC9"/>
    <w:rsid w:val="000B672A"/>
    <w:rsid w:val="00251219"/>
    <w:rsid w:val="003075B6"/>
    <w:rsid w:val="00314682"/>
    <w:rsid w:val="00463EEB"/>
    <w:rsid w:val="004A1F7F"/>
    <w:rsid w:val="004C67A6"/>
    <w:rsid w:val="004D0DFB"/>
    <w:rsid w:val="005E1A00"/>
    <w:rsid w:val="0076013A"/>
    <w:rsid w:val="0079544B"/>
    <w:rsid w:val="007A6185"/>
    <w:rsid w:val="00892481"/>
    <w:rsid w:val="008A7FCA"/>
    <w:rsid w:val="009050CC"/>
    <w:rsid w:val="00955E0E"/>
    <w:rsid w:val="00A26AE1"/>
    <w:rsid w:val="00A3716F"/>
    <w:rsid w:val="00A44F35"/>
    <w:rsid w:val="00B023B0"/>
    <w:rsid w:val="00B1184A"/>
    <w:rsid w:val="00BE21A8"/>
    <w:rsid w:val="00C02FE4"/>
    <w:rsid w:val="00CB76C2"/>
    <w:rsid w:val="00D104DC"/>
    <w:rsid w:val="00D442AB"/>
    <w:rsid w:val="00D81180"/>
    <w:rsid w:val="00D936E9"/>
    <w:rsid w:val="00E33AC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AC"/>
    <w:pPr>
      <w:spacing w:before="20" w:after="20" w:line="240" w:lineRule="auto"/>
    </w:pPr>
  </w:style>
  <w:style w:type="paragraph" w:styleId="Heading1">
    <w:name w:val="heading 1"/>
    <w:basedOn w:val="Normal"/>
    <w:next w:val="Normal"/>
    <w:link w:val="Heading1Char"/>
    <w:uiPriority w:val="9"/>
    <w:qFormat/>
    <w:rsid w:val="00042AC9"/>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2AC9"/>
    <w:pPr>
      <w:keepNext/>
      <w:keepLines/>
      <w:spacing w:before="60" w:after="6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B074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AC9"/>
    <w:pPr>
      <w:ind w:left="720"/>
      <w:contextualSpacing/>
    </w:pPr>
  </w:style>
  <w:style w:type="character" w:customStyle="1" w:styleId="Heading1Char">
    <w:name w:val="Heading 1 Char"/>
    <w:basedOn w:val="DefaultParagraphFont"/>
    <w:link w:val="Heading1"/>
    <w:uiPriority w:val="9"/>
    <w:rsid w:val="00042A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2AC9"/>
    <w:rPr>
      <w:rFonts w:asciiTheme="majorHAnsi" w:eastAsiaTheme="majorEastAsia" w:hAnsiTheme="majorHAnsi" w:cstheme="majorBidi"/>
      <w:b/>
      <w:bCs/>
      <w:color w:val="4F81BD" w:themeColor="accent1"/>
      <w:sz w:val="24"/>
      <w:szCs w:val="26"/>
    </w:rPr>
  </w:style>
  <w:style w:type="paragraph" w:styleId="FootnoteText">
    <w:name w:val="footnote text"/>
    <w:basedOn w:val="Normal"/>
    <w:link w:val="FootnoteTextChar"/>
    <w:uiPriority w:val="99"/>
    <w:semiHidden/>
    <w:unhideWhenUsed/>
    <w:rsid w:val="00042AC9"/>
    <w:pPr>
      <w:spacing w:before="0" w:after="0"/>
    </w:pPr>
    <w:rPr>
      <w:sz w:val="20"/>
      <w:szCs w:val="20"/>
    </w:rPr>
  </w:style>
  <w:style w:type="character" w:customStyle="1" w:styleId="FootnoteTextChar">
    <w:name w:val="Footnote Text Char"/>
    <w:basedOn w:val="DefaultParagraphFont"/>
    <w:link w:val="FootnoteText"/>
    <w:uiPriority w:val="99"/>
    <w:semiHidden/>
    <w:rsid w:val="00042AC9"/>
    <w:rPr>
      <w:sz w:val="20"/>
      <w:szCs w:val="20"/>
    </w:rPr>
  </w:style>
  <w:style w:type="character" w:styleId="FootnoteReference">
    <w:name w:val="footnote reference"/>
    <w:basedOn w:val="DefaultParagraphFont"/>
    <w:uiPriority w:val="99"/>
    <w:semiHidden/>
    <w:unhideWhenUsed/>
    <w:rsid w:val="00042AC9"/>
    <w:rPr>
      <w:vertAlign w:val="superscript"/>
    </w:rPr>
  </w:style>
  <w:style w:type="table" w:styleId="TableGrid">
    <w:name w:val="Table Grid"/>
    <w:basedOn w:val="TableNormal"/>
    <w:uiPriority w:val="59"/>
    <w:rsid w:val="00042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1749"/>
    <w:pPr>
      <w:tabs>
        <w:tab w:val="center" w:pos="4513"/>
        <w:tab w:val="right" w:pos="9026"/>
      </w:tabs>
      <w:spacing w:before="0" w:after="0"/>
    </w:pPr>
  </w:style>
  <w:style w:type="character" w:customStyle="1" w:styleId="HeaderChar">
    <w:name w:val="Header Char"/>
    <w:basedOn w:val="DefaultParagraphFont"/>
    <w:link w:val="Header"/>
    <w:uiPriority w:val="99"/>
    <w:rsid w:val="00DD1749"/>
  </w:style>
  <w:style w:type="paragraph" w:styleId="Footer">
    <w:name w:val="footer"/>
    <w:basedOn w:val="Normal"/>
    <w:link w:val="FooterChar"/>
    <w:uiPriority w:val="99"/>
    <w:unhideWhenUsed/>
    <w:rsid w:val="00DD1749"/>
    <w:pPr>
      <w:tabs>
        <w:tab w:val="center" w:pos="4513"/>
        <w:tab w:val="right" w:pos="9026"/>
      </w:tabs>
      <w:spacing w:before="0" w:after="0"/>
    </w:pPr>
  </w:style>
  <w:style w:type="character" w:customStyle="1" w:styleId="FooterChar">
    <w:name w:val="Footer Char"/>
    <w:basedOn w:val="DefaultParagraphFont"/>
    <w:link w:val="Footer"/>
    <w:uiPriority w:val="99"/>
    <w:rsid w:val="00DD1749"/>
  </w:style>
  <w:style w:type="character" w:customStyle="1" w:styleId="Heading3Char">
    <w:name w:val="Heading 3 Char"/>
    <w:basedOn w:val="DefaultParagraphFont"/>
    <w:link w:val="Heading3"/>
    <w:uiPriority w:val="9"/>
    <w:rsid w:val="00B074E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A32BF"/>
    <w:rPr>
      <w:color w:val="0000FF" w:themeColor="hyperlink"/>
      <w:u w:val="single"/>
    </w:rPr>
  </w:style>
  <w:style w:type="paragraph" w:styleId="BalloonText">
    <w:name w:val="Balloon Text"/>
    <w:basedOn w:val="Normal"/>
    <w:link w:val="BalloonTextChar"/>
    <w:uiPriority w:val="99"/>
    <w:semiHidden/>
    <w:unhideWhenUsed/>
    <w:rsid w:val="000D2FA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FA0"/>
    <w:rPr>
      <w:rFonts w:ascii="Tahoma" w:hAnsi="Tahoma" w:cs="Tahoma"/>
      <w:sz w:val="16"/>
      <w:szCs w:val="16"/>
    </w:rPr>
  </w:style>
  <w:style w:type="paragraph" w:styleId="NoSpacing">
    <w:name w:val="No Spacing"/>
    <w:uiPriority w:val="1"/>
    <w:qFormat/>
    <w:rsid w:val="00913CAD"/>
    <w:pPr>
      <w:spacing w:after="0" w:line="240" w:lineRule="auto"/>
    </w:pPr>
    <w:rPr>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AC"/>
    <w:pPr>
      <w:spacing w:before="20" w:after="20" w:line="240" w:lineRule="auto"/>
    </w:pPr>
  </w:style>
  <w:style w:type="paragraph" w:styleId="Heading1">
    <w:name w:val="heading 1"/>
    <w:basedOn w:val="Normal"/>
    <w:next w:val="Normal"/>
    <w:link w:val="Heading1Char"/>
    <w:uiPriority w:val="9"/>
    <w:qFormat/>
    <w:rsid w:val="00042AC9"/>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2AC9"/>
    <w:pPr>
      <w:keepNext/>
      <w:keepLines/>
      <w:spacing w:before="60" w:after="6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B074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AC9"/>
    <w:pPr>
      <w:ind w:left="720"/>
      <w:contextualSpacing/>
    </w:pPr>
  </w:style>
  <w:style w:type="character" w:customStyle="1" w:styleId="Heading1Char">
    <w:name w:val="Heading 1 Char"/>
    <w:basedOn w:val="DefaultParagraphFont"/>
    <w:link w:val="Heading1"/>
    <w:uiPriority w:val="9"/>
    <w:rsid w:val="00042A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2AC9"/>
    <w:rPr>
      <w:rFonts w:asciiTheme="majorHAnsi" w:eastAsiaTheme="majorEastAsia" w:hAnsiTheme="majorHAnsi" w:cstheme="majorBidi"/>
      <w:b/>
      <w:bCs/>
      <w:color w:val="4F81BD" w:themeColor="accent1"/>
      <w:sz w:val="24"/>
      <w:szCs w:val="26"/>
    </w:rPr>
  </w:style>
  <w:style w:type="paragraph" w:styleId="FootnoteText">
    <w:name w:val="footnote text"/>
    <w:basedOn w:val="Normal"/>
    <w:link w:val="FootnoteTextChar"/>
    <w:uiPriority w:val="99"/>
    <w:semiHidden/>
    <w:unhideWhenUsed/>
    <w:rsid w:val="00042AC9"/>
    <w:pPr>
      <w:spacing w:before="0" w:after="0"/>
    </w:pPr>
    <w:rPr>
      <w:sz w:val="20"/>
      <w:szCs w:val="20"/>
    </w:rPr>
  </w:style>
  <w:style w:type="character" w:customStyle="1" w:styleId="FootnoteTextChar">
    <w:name w:val="Footnote Text Char"/>
    <w:basedOn w:val="DefaultParagraphFont"/>
    <w:link w:val="FootnoteText"/>
    <w:uiPriority w:val="99"/>
    <w:semiHidden/>
    <w:rsid w:val="00042AC9"/>
    <w:rPr>
      <w:sz w:val="20"/>
      <w:szCs w:val="20"/>
    </w:rPr>
  </w:style>
  <w:style w:type="character" w:styleId="FootnoteReference">
    <w:name w:val="footnote reference"/>
    <w:basedOn w:val="DefaultParagraphFont"/>
    <w:uiPriority w:val="99"/>
    <w:semiHidden/>
    <w:unhideWhenUsed/>
    <w:rsid w:val="00042AC9"/>
    <w:rPr>
      <w:vertAlign w:val="superscript"/>
    </w:rPr>
  </w:style>
  <w:style w:type="table" w:styleId="TableGrid">
    <w:name w:val="Table Grid"/>
    <w:basedOn w:val="TableNormal"/>
    <w:uiPriority w:val="59"/>
    <w:rsid w:val="00042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1749"/>
    <w:pPr>
      <w:tabs>
        <w:tab w:val="center" w:pos="4513"/>
        <w:tab w:val="right" w:pos="9026"/>
      </w:tabs>
      <w:spacing w:before="0" w:after="0"/>
    </w:pPr>
  </w:style>
  <w:style w:type="character" w:customStyle="1" w:styleId="HeaderChar">
    <w:name w:val="Header Char"/>
    <w:basedOn w:val="DefaultParagraphFont"/>
    <w:link w:val="Header"/>
    <w:uiPriority w:val="99"/>
    <w:rsid w:val="00DD1749"/>
  </w:style>
  <w:style w:type="paragraph" w:styleId="Footer">
    <w:name w:val="footer"/>
    <w:basedOn w:val="Normal"/>
    <w:link w:val="FooterChar"/>
    <w:uiPriority w:val="99"/>
    <w:unhideWhenUsed/>
    <w:rsid w:val="00DD1749"/>
    <w:pPr>
      <w:tabs>
        <w:tab w:val="center" w:pos="4513"/>
        <w:tab w:val="right" w:pos="9026"/>
      </w:tabs>
      <w:spacing w:before="0" w:after="0"/>
    </w:pPr>
  </w:style>
  <w:style w:type="character" w:customStyle="1" w:styleId="FooterChar">
    <w:name w:val="Footer Char"/>
    <w:basedOn w:val="DefaultParagraphFont"/>
    <w:link w:val="Footer"/>
    <w:uiPriority w:val="99"/>
    <w:rsid w:val="00DD1749"/>
  </w:style>
  <w:style w:type="character" w:customStyle="1" w:styleId="Heading3Char">
    <w:name w:val="Heading 3 Char"/>
    <w:basedOn w:val="DefaultParagraphFont"/>
    <w:link w:val="Heading3"/>
    <w:uiPriority w:val="9"/>
    <w:rsid w:val="00B074E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A32BF"/>
    <w:rPr>
      <w:color w:val="0000FF" w:themeColor="hyperlink"/>
      <w:u w:val="single"/>
    </w:rPr>
  </w:style>
  <w:style w:type="paragraph" w:styleId="BalloonText">
    <w:name w:val="Balloon Text"/>
    <w:basedOn w:val="Normal"/>
    <w:link w:val="BalloonTextChar"/>
    <w:uiPriority w:val="99"/>
    <w:semiHidden/>
    <w:unhideWhenUsed/>
    <w:rsid w:val="000D2FA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FA0"/>
    <w:rPr>
      <w:rFonts w:ascii="Tahoma" w:hAnsi="Tahoma" w:cs="Tahoma"/>
      <w:sz w:val="16"/>
      <w:szCs w:val="16"/>
    </w:rPr>
  </w:style>
  <w:style w:type="paragraph" w:styleId="NoSpacing">
    <w:name w:val="No Spacing"/>
    <w:uiPriority w:val="1"/>
    <w:qFormat/>
    <w:rsid w:val="00913CAD"/>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industry.co.n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Methanex New Zealand Ltd</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Phil Watson</cp:lastModifiedBy>
  <cp:revision>2</cp:revision>
  <cp:lastPrinted>2017-08-04T02:02:00Z</cp:lastPrinted>
  <dcterms:created xsi:type="dcterms:W3CDTF">2017-12-06T05:07:00Z</dcterms:created>
  <dcterms:modified xsi:type="dcterms:W3CDTF">2017-12-06T05:07:00Z</dcterms:modified>
</cp:coreProperties>
</file>