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EE8F3" w14:textId="3ED9FAF9" w:rsidR="004C5E97" w:rsidRDefault="00F65762" w:rsidP="00EA2113">
      <w:pPr>
        <w:pStyle w:val="BodyText"/>
        <w:ind w:left="0"/>
        <w:sectPr w:rsidR="004C5E97" w:rsidSect="00EA2113">
          <w:headerReference w:type="default" r:id="rId8"/>
          <w:pgSz w:w="11907" w:h="16840" w:code="9"/>
          <w:pgMar w:top="1418" w:right="851" w:bottom="1418" w:left="1134" w:header="567" w:footer="567" w:gutter="0"/>
          <w:cols w:space="720"/>
        </w:sectPr>
      </w:pPr>
      <w:bookmarkStart w:id="0" w:name="_Toc114989474"/>
      <w:bookmarkStart w:id="1" w:name="_Toc120528179"/>
      <w:r w:rsidRPr="00B04586">
        <w:rPr>
          <w:noProof/>
          <w:lang w:eastAsia="en-NZ"/>
        </w:rPr>
        <mc:AlternateContent>
          <mc:Choice Requires="wps">
            <w:drawing>
              <wp:anchor distT="0" distB="0" distL="114300" distR="114300" simplePos="0" relativeHeight="251666432" behindDoc="0" locked="0" layoutInCell="1" allowOverlap="1" wp14:anchorId="6ACE3C38" wp14:editId="5CADDC61">
                <wp:simplePos x="0" y="0"/>
                <wp:positionH relativeFrom="column">
                  <wp:posOffset>324485</wp:posOffset>
                </wp:positionH>
                <wp:positionV relativeFrom="paragraph">
                  <wp:posOffset>2017395</wp:posOffset>
                </wp:positionV>
                <wp:extent cx="5257800" cy="10953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40F29" w14:textId="2F07CF35" w:rsidR="008008CD" w:rsidRPr="00220565" w:rsidRDefault="008008CD" w:rsidP="00B04586">
                            <w:pPr>
                              <w:jc w:val="center"/>
                              <w:rPr>
                                <w:rFonts w:ascii="Calibri" w:hAnsi="Calibri"/>
                                <w:b/>
                                <w:color w:val="7F1399"/>
                                <w:sz w:val="56"/>
                                <w:szCs w:val="56"/>
                              </w:rPr>
                            </w:pPr>
                            <w:r>
                              <w:rPr>
                                <w:rFonts w:ascii="Calibri" w:hAnsi="Calibri"/>
                                <w:b/>
                                <w:color w:val="7F1399"/>
                                <w:sz w:val="56"/>
                                <w:szCs w:val="56"/>
                              </w:rPr>
                              <w:t xml:space="preserve">Revised Draft Gas Transmission Access GTAC </w:t>
                            </w:r>
                          </w:p>
                          <w:p w14:paraId="5F664E84" w14:textId="77777777" w:rsidR="008008CD" w:rsidRPr="00220565" w:rsidRDefault="008008CD" w:rsidP="00B04586">
                            <w:pPr>
                              <w:jc w:val="center"/>
                              <w:rPr>
                                <w:rFonts w:ascii="Calibri" w:hAnsi="Calibri" w:cs="Calibri"/>
                                <w:b/>
                                <w:color w:val="000000" w:themeColor="text1"/>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E3C38" id="_x0000_t202" coordsize="21600,21600" o:spt="202" path="m,l,21600r21600,l21600,xe">
                <v:stroke joinstyle="miter"/>
                <v:path gradientshapeok="t" o:connecttype="rect"/>
              </v:shapetype>
              <v:shape id="Text Box 11" o:spid="_x0000_s1026" type="#_x0000_t202" style="position:absolute;left:0;text-align:left;margin-left:25.55pt;margin-top:158.85pt;width:414pt;height:8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T+tgIAALw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" filled="f" stroked="f">
                <v:textbox>
                  <w:txbxContent>
                    <w:p w14:paraId="01240F29" w14:textId="2F07CF35" w:rsidR="008008CD" w:rsidRPr="00220565" w:rsidRDefault="008008CD" w:rsidP="00B04586">
                      <w:pPr>
                        <w:jc w:val="center"/>
                        <w:rPr>
                          <w:rFonts w:ascii="Calibri" w:hAnsi="Calibri"/>
                          <w:b/>
                          <w:color w:val="7F1399"/>
                          <w:sz w:val="56"/>
                          <w:szCs w:val="56"/>
                        </w:rPr>
                      </w:pPr>
                      <w:r>
                        <w:rPr>
                          <w:rFonts w:ascii="Calibri" w:hAnsi="Calibri"/>
                          <w:b/>
                          <w:color w:val="7F1399"/>
                          <w:sz w:val="56"/>
                          <w:szCs w:val="56"/>
                        </w:rPr>
                        <w:t xml:space="preserve">Revised Draft Gas Transmission Access GTAC </w:t>
                      </w:r>
                    </w:p>
                    <w:p w14:paraId="5F664E84" w14:textId="77777777" w:rsidR="008008CD" w:rsidRPr="00220565" w:rsidRDefault="008008CD" w:rsidP="00B04586">
                      <w:pPr>
                        <w:jc w:val="center"/>
                        <w:rPr>
                          <w:rFonts w:ascii="Calibri" w:hAnsi="Calibri" w:cs="Calibri"/>
                          <w:b/>
                          <w:color w:val="000000" w:themeColor="text1"/>
                          <w:sz w:val="56"/>
                          <w:szCs w:val="56"/>
                        </w:rPr>
                      </w:pPr>
                    </w:p>
                  </w:txbxContent>
                </v:textbox>
              </v:shape>
            </w:pict>
          </mc:Fallback>
        </mc:AlternateContent>
      </w:r>
      <w:r w:rsidR="0020489E" w:rsidRPr="00B04586">
        <w:rPr>
          <w:noProof/>
          <w:lang w:eastAsia="en-NZ"/>
        </w:rPr>
        <mc:AlternateContent>
          <mc:Choice Requires="wps">
            <w:drawing>
              <wp:anchor distT="0" distB="0" distL="114300" distR="114300" simplePos="0" relativeHeight="251669504" behindDoc="0" locked="0" layoutInCell="1" allowOverlap="1" wp14:anchorId="7C150BD9" wp14:editId="4E747A71">
                <wp:simplePos x="0" y="0"/>
                <wp:positionH relativeFrom="column">
                  <wp:posOffset>325755</wp:posOffset>
                </wp:positionH>
                <wp:positionV relativeFrom="paragraph">
                  <wp:posOffset>3830320</wp:posOffset>
                </wp:positionV>
                <wp:extent cx="5676900" cy="6762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AD3E4" w14:textId="541A695C" w:rsidR="008008CD" w:rsidRPr="00220565" w:rsidRDefault="008008CD" w:rsidP="00D71D7C">
                            <w:pPr>
                              <w:jc w:val="center"/>
                              <w:rPr>
                                <w:rFonts w:asciiTheme="minorHAnsi" w:hAnsiTheme="minorHAnsi" w:cstheme="minorHAnsi"/>
                                <w:b/>
                                <w:i/>
                                <w:color w:val="17365D" w:themeColor="text2" w:themeShade="BF"/>
                                <w:sz w:val="32"/>
                                <w:szCs w:val="32"/>
                              </w:rPr>
                            </w:pPr>
                            <w:r>
                              <w:rPr>
                                <w:rFonts w:ascii="Calibri" w:hAnsi="Calibri"/>
                                <w:i/>
                                <w:color w:val="7F1399"/>
                                <w:sz w:val="32"/>
                                <w:szCs w:val="32"/>
                              </w:rPr>
                              <w:t>A response to First 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50BD9" id="Text Box 5" o:spid="_x0000_s1027" type="#_x0000_t202" style="position:absolute;left:0;text-align:left;margin-left:25.65pt;margin-top:301.6pt;width:447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jLUuAIAAMA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" filled="f" stroked="f">
                <v:textbox>
                  <w:txbxContent>
                    <w:p w14:paraId="2FFAD3E4" w14:textId="541A695C" w:rsidR="008008CD" w:rsidRPr="00220565" w:rsidRDefault="008008CD" w:rsidP="00D71D7C">
                      <w:pPr>
                        <w:jc w:val="center"/>
                        <w:rPr>
                          <w:rFonts w:asciiTheme="minorHAnsi" w:hAnsiTheme="minorHAnsi" w:cstheme="minorHAnsi"/>
                          <w:b/>
                          <w:i/>
                          <w:color w:val="17365D" w:themeColor="text2" w:themeShade="BF"/>
                          <w:sz w:val="32"/>
                          <w:szCs w:val="32"/>
                        </w:rPr>
                      </w:pPr>
                      <w:r>
                        <w:rPr>
                          <w:rFonts w:ascii="Calibri" w:hAnsi="Calibri"/>
                          <w:i/>
                          <w:color w:val="7F1399"/>
                          <w:sz w:val="32"/>
                          <w:szCs w:val="32"/>
                        </w:rPr>
                        <w:t>A response to First Gas</w:t>
                      </w:r>
                    </w:p>
                  </w:txbxContent>
                </v:textbox>
              </v:shape>
            </w:pict>
          </mc:Fallback>
        </mc:AlternateContent>
      </w:r>
      <w:r w:rsidR="00EA2113" w:rsidRPr="00B04586">
        <w:rPr>
          <w:noProof/>
          <w:lang w:eastAsia="en-NZ"/>
        </w:rPr>
        <w:drawing>
          <wp:anchor distT="0" distB="0" distL="114300" distR="114300" simplePos="0" relativeHeight="251665408" behindDoc="1" locked="0" layoutInCell="1" allowOverlap="1" wp14:anchorId="658A2F91" wp14:editId="014FCACF">
            <wp:simplePos x="0" y="0"/>
            <wp:positionH relativeFrom="column">
              <wp:posOffset>-738505</wp:posOffset>
            </wp:positionH>
            <wp:positionV relativeFrom="paragraph">
              <wp:posOffset>-886147</wp:posOffset>
            </wp:positionV>
            <wp:extent cx="7609840" cy="10696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3.jpg"/>
                    <pic:cNvPicPr/>
                  </pic:nvPicPr>
                  <pic:blipFill>
                    <a:blip r:embed="rId9">
                      <a:extLst>
                        <a:ext uri="{28A0092B-C50C-407E-A947-70E740481C1C}">
                          <a14:useLocalDpi xmlns:a14="http://schemas.microsoft.com/office/drawing/2010/main" val="0"/>
                        </a:ext>
                      </a:extLst>
                    </a:blip>
                    <a:stretch>
                      <a:fillRect/>
                    </a:stretch>
                  </pic:blipFill>
                  <pic:spPr>
                    <a:xfrm>
                      <a:off x="0" y="0"/>
                      <a:ext cx="7609840" cy="10696575"/>
                    </a:xfrm>
                    <a:prstGeom prst="rect">
                      <a:avLst/>
                    </a:prstGeom>
                  </pic:spPr>
                </pic:pic>
              </a:graphicData>
            </a:graphic>
            <wp14:sizeRelH relativeFrom="page">
              <wp14:pctWidth>0</wp14:pctWidth>
            </wp14:sizeRelH>
            <wp14:sizeRelV relativeFrom="page">
              <wp14:pctHeight>0</wp14:pctHeight>
            </wp14:sizeRelV>
          </wp:anchor>
        </w:drawing>
      </w:r>
      <w:r w:rsidR="00220565" w:rsidRPr="00B04586">
        <w:rPr>
          <w:noProof/>
          <w:lang w:eastAsia="en-NZ"/>
        </w:rPr>
        <mc:AlternateContent>
          <mc:Choice Requires="wps">
            <w:drawing>
              <wp:anchor distT="0" distB="0" distL="114300" distR="114300" simplePos="0" relativeHeight="251667456" behindDoc="0" locked="0" layoutInCell="1" allowOverlap="1" wp14:anchorId="6D2427B6" wp14:editId="0119CD1A">
                <wp:simplePos x="0" y="0"/>
                <wp:positionH relativeFrom="column">
                  <wp:posOffset>327660</wp:posOffset>
                </wp:positionH>
                <wp:positionV relativeFrom="paragraph">
                  <wp:posOffset>4737735</wp:posOffset>
                </wp:positionV>
                <wp:extent cx="5676900" cy="676275"/>
                <wp:effectExtent l="0" t="0" r="0" b="952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AD004" w14:textId="480842F5" w:rsidR="008008CD" w:rsidRPr="00220565" w:rsidRDefault="008008CD" w:rsidP="00B04586">
                            <w:pPr>
                              <w:jc w:val="center"/>
                              <w:rPr>
                                <w:rFonts w:asciiTheme="minorHAnsi" w:hAnsiTheme="minorHAnsi" w:cstheme="minorHAnsi"/>
                                <w:b/>
                                <w:color w:val="17365D" w:themeColor="text2" w:themeShade="BF"/>
                                <w:sz w:val="40"/>
                                <w:szCs w:val="40"/>
                              </w:rPr>
                            </w:pPr>
                            <w:r>
                              <w:rPr>
                                <w:rFonts w:ascii="Calibri" w:hAnsi="Calibri"/>
                                <w:color w:val="7F1399"/>
                                <w:sz w:val="40"/>
                                <w:szCs w:val="40"/>
                              </w:rPr>
                              <w:fldChar w:fldCharType="begin"/>
                            </w:r>
                            <w:r>
                              <w:rPr>
                                <w:rFonts w:ascii="Calibri" w:hAnsi="Calibri"/>
                                <w:color w:val="7F1399"/>
                                <w:sz w:val="40"/>
                                <w:szCs w:val="40"/>
                              </w:rPr>
                              <w:instrText xml:space="preserve"> DATE \@ "d MMMM yyyy" </w:instrText>
                            </w:r>
                            <w:r>
                              <w:rPr>
                                <w:rFonts w:ascii="Calibri" w:hAnsi="Calibri"/>
                                <w:color w:val="7F1399"/>
                                <w:sz w:val="40"/>
                                <w:szCs w:val="40"/>
                              </w:rPr>
                              <w:fldChar w:fldCharType="separate"/>
                            </w:r>
                            <w:r>
                              <w:rPr>
                                <w:rFonts w:ascii="Calibri" w:hAnsi="Calibri"/>
                                <w:noProof/>
                                <w:color w:val="7F1399"/>
                                <w:sz w:val="40"/>
                                <w:szCs w:val="40"/>
                              </w:rPr>
                              <w:t>9 October 2017</w:t>
                            </w:r>
                            <w:r>
                              <w:rPr>
                                <w:rFonts w:ascii="Calibri" w:hAnsi="Calibri"/>
                                <w:color w:val="7F1399"/>
                                <w:sz w:val="40"/>
                                <w:szCs w:val="4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427B6" id="_x0000_s1028" type="#_x0000_t202" style="position:absolute;left:0;text-align:left;margin-left:25.8pt;margin-top:373.05pt;width:447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" filled="f" stroked="f">
                <v:textbox>
                  <w:txbxContent>
                    <w:p w14:paraId="3C9AD004" w14:textId="480842F5" w:rsidR="008008CD" w:rsidRPr="00220565" w:rsidRDefault="008008CD" w:rsidP="00B04586">
                      <w:pPr>
                        <w:jc w:val="center"/>
                        <w:rPr>
                          <w:rFonts w:asciiTheme="minorHAnsi" w:hAnsiTheme="minorHAnsi" w:cstheme="minorHAnsi"/>
                          <w:b/>
                          <w:color w:val="17365D" w:themeColor="text2" w:themeShade="BF"/>
                          <w:sz w:val="40"/>
                          <w:szCs w:val="40"/>
                        </w:rPr>
                      </w:pPr>
                      <w:r>
                        <w:rPr>
                          <w:rFonts w:ascii="Calibri" w:hAnsi="Calibri"/>
                          <w:color w:val="7F1399"/>
                          <w:sz w:val="40"/>
                          <w:szCs w:val="40"/>
                        </w:rPr>
                        <w:fldChar w:fldCharType="begin"/>
                      </w:r>
                      <w:r>
                        <w:rPr>
                          <w:rFonts w:ascii="Calibri" w:hAnsi="Calibri"/>
                          <w:color w:val="7F1399"/>
                          <w:sz w:val="40"/>
                          <w:szCs w:val="40"/>
                        </w:rPr>
                        <w:instrText xml:space="preserve"> DATE \@ "d MMMM yyyy" </w:instrText>
                      </w:r>
                      <w:r>
                        <w:rPr>
                          <w:rFonts w:ascii="Calibri" w:hAnsi="Calibri"/>
                          <w:color w:val="7F1399"/>
                          <w:sz w:val="40"/>
                          <w:szCs w:val="40"/>
                        </w:rPr>
                        <w:fldChar w:fldCharType="separate"/>
                      </w:r>
                      <w:r>
                        <w:rPr>
                          <w:rFonts w:ascii="Calibri" w:hAnsi="Calibri"/>
                          <w:noProof/>
                          <w:color w:val="7F1399"/>
                          <w:sz w:val="40"/>
                          <w:szCs w:val="40"/>
                        </w:rPr>
                        <w:t>9 October 2017</w:t>
                      </w:r>
                      <w:r>
                        <w:rPr>
                          <w:rFonts w:ascii="Calibri" w:hAnsi="Calibri"/>
                          <w:color w:val="7F1399"/>
                          <w:sz w:val="40"/>
                          <w:szCs w:val="40"/>
                        </w:rPr>
                        <w:fldChar w:fldCharType="end"/>
                      </w:r>
                    </w:p>
                  </w:txbxContent>
                </v:textbox>
              </v:shape>
            </w:pict>
          </mc:Fallback>
        </mc:AlternateContent>
      </w:r>
      <w:r w:rsidR="00B04586" w:rsidRPr="00B04586">
        <w:rPr>
          <w:noProof/>
          <w:lang w:eastAsia="en-NZ"/>
        </w:rPr>
        <mc:AlternateContent>
          <mc:Choice Requires="wps">
            <w:drawing>
              <wp:anchor distT="0" distB="0" distL="114300" distR="114300" simplePos="0" relativeHeight="251664384" behindDoc="0" locked="0" layoutInCell="1" allowOverlap="1" wp14:anchorId="7D57C64D" wp14:editId="2B5F6C1D">
                <wp:simplePos x="0" y="0"/>
                <wp:positionH relativeFrom="column">
                  <wp:posOffset>5692140</wp:posOffset>
                </wp:positionH>
                <wp:positionV relativeFrom="paragraph">
                  <wp:posOffset>-512445</wp:posOffset>
                </wp:positionV>
                <wp:extent cx="799465" cy="9862185"/>
                <wp:effectExtent l="0" t="0" r="0" b="5715"/>
                <wp:wrapSquare wrapText="bothSides"/>
                <wp:docPr id="3" name="Text Box 3"/>
                <wp:cNvGraphicFramePr/>
                <a:graphic xmlns:a="http://schemas.openxmlformats.org/drawingml/2006/main">
                  <a:graphicData uri="http://schemas.microsoft.com/office/word/2010/wordprocessingShape">
                    <wps:wsp>
                      <wps:cNvSpPr txBox="1"/>
                      <wps:spPr>
                        <a:xfrm>
                          <a:off x="0" y="0"/>
                          <a:ext cx="799465" cy="98621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394855" w14:textId="77777777" w:rsidR="008008CD" w:rsidRPr="00E8465E" w:rsidRDefault="008008CD" w:rsidP="00B04586">
                            <w:pPr>
                              <w:rPr>
                                <w:rFonts w:ascii="Calibri" w:hAnsi="Calibri"/>
                                <w:color w:val="7F1399"/>
                                <w:sz w:val="64"/>
                                <w:szCs w:val="6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7C64D" id="Text Box 3" o:spid="_x0000_s1029" type="#_x0000_t202" style="position:absolute;left:0;text-align:left;margin-left:448.2pt;margin-top:-40.35pt;width:62.95pt;height:77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" filled="f" stroked="f">
                <v:textbox style="layout-flow:vertical;mso-layout-flow-alt:bottom-to-top">
                  <w:txbxContent>
                    <w:p w14:paraId="71394855" w14:textId="77777777" w:rsidR="008008CD" w:rsidRPr="00E8465E" w:rsidRDefault="008008CD" w:rsidP="00B04586">
                      <w:pPr>
                        <w:rPr>
                          <w:rFonts w:ascii="Calibri" w:hAnsi="Calibri"/>
                          <w:color w:val="7F1399"/>
                          <w:sz w:val="64"/>
                          <w:szCs w:val="64"/>
                        </w:rPr>
                      </w:pPr>
                    </w:p>
                  </w:txbxContent>
                </v:textbox>
                <w10:wrap type="square"/>
              </v:shape>
            </w:pict>
          </mc:Fallback>
        </mc:AlternateContent>
      </w:r>
    </w:p>
    <w:p w14:paraId="21BBAD89" w14:textId="609A151C" w:rsidR="00EA2113" w:rsidRPr="00B45DF6" w:rsidRDefault="00EA2113" w:rsidP="00B45DF6">
      <w:pPr>
        <w:pStyle w:val="BodyText-NotIndented"/>
      </w:pPr>
      <w:bookmarkStart w:id="2" w:name="_Toc369700040"/>
      <w:bookmarkStart w:id="3" w:name="_Toc370399336"/>
      <w:bookmarkEnd w:id="0"/>
      <w:bookmarkEnd w:id="1"/>
      <w:r w:rsidRPr="00B45DF6">
        <w:lastRenderedPageBreak/>
        <w:t>Trustpower Limited welcomes the opp</w:t>
      </w:r>
      <w:r w:rsidR="00F65762">
        <w:t>ortunity to provide a response</w:t>
      </w:r>
      <w:r w:rsidRPr="00B45DF6">
        <w:t xml:space="preserve"> to </w:t>
      </w:r>
      <w:r w:rsidR="007E06AD">
        <w:t xml:space="preserve">First Gas </w:t>
      </w:r>
      <w:r w:rsidR="00F65762">
        <w:t>on its</w:t>
      </w:r>
      <w:r w:rsidR="007E06AD">
        <w:t xml:space="preserve"> revised draft Ga</w:t>
      </w:r>
      <w:r w:rsidR="00BA5D7C">
        <w:t xml:space="preserve">s Transmission Access </w:t>
      </w:r>
      <w:r w:rsidR="00AF7770">
        <w:t>GTAC</w:t>
      </w:r>
      <w:r w:rsidR="00BA5D7C">
        <w:t>.</w:t>
      </w:r>
      <w:r w:rsidR="001B696E">
        <w:t xml:space="preserve">  </w:t>
      </w:r>
    </w:p>
    <w:p w14:paraId="37FD32E4" w14:textId="239F9852" w:rsidR="00EB27A8" w:rsidRPr="00B45DF6" w:rsidRDefault="00EB27A8">
      <w:pPr>
        <w:jc w:val="left"/>
        <w:rPr>
          <w:rFonts w:asciiTheme="minorHAnsi" w:hAnsiTheme="minorHAnsi" w:cstheme="minorHAnsi"/>
          <w:sz w:val="22"/>
          <w:szCs w:val="22"/>
        </w:rPr>
      </w:pPr>
      <w:r w:rsidRPr="00B45DF6">
        <w:rPr>
          <w:rFonts w:asciiTheme="minorHAnsi" w:hAnsiTheme="minorHAnsi" w:cstheme="minorHAnsi"/>
          <w:sz w:val="22"/>
          <w:szCs w:val="22"/>
        </w:rPr>
        <w:t>For any questions relating to th</w:t>
      </w:r>
      <w:r w:rsidR="00BD1A39" w:rsidRPr="00B45DF6">
        <w:rPr>
          <w:rFonts w:asciiTheme="minorHAnsi" w:hAnsiTheme="minorHAnsi" w:cstheme="minorHAnsi"/>
          <w:sz w:val="22"/>
          <w:szCs w:val="22"/>
        </w:rPr>
        <w:t>e material in th</w:t>
      </w:r>
      <w:r w:rsidR="00F65762">
        <w:rPr>
          <w:rFonts w:asciiTheme="minorHAnsi" w:hAnsiTheme="minorHAnsi" w:cstheme="minorHAnsi"/>
          <w:sz w:val="22"/>
          <w:szCs w:val="22"/>
        </w:rPr>
        <w:t>is response</w:t>
      </w:r>
      <w:r w:rsidRPr="00B45DF6">
        <w:rPr>
          <w:rFonts w:asciiTheme="minorHAnsi" w:hAnsiTheme="minorHAnsi" w:cstheme="minorHAnsi"/>
          <w:sz w:val="22"/>
          <w:szCs w:val="22"/>
        </w:rPr>
        <w:t>, please contact</w:t>
      </w:r>
      <w:r w:rsidR="007E06AD">
        <w:rPr>
          <w:rFonts w:asciiTheme="minorHAnsi" w:hAnsiTheme="minorHAnsi" w:cstheme="minorHAnsi"/>
          <w:sz w:val="22"/>
          <w:szCs w:val="22"/>
        </w:rPr>
        <w:t xml:space="preserve"> either</w:t>
      </w:r>
      <w:r w:rsidR="00CB2362" w:rsidRPr="00B45DF6">
        <w:rPr>
          <w:rFonts w:asciiTheme="minorHAnsi" w:hAnsiTheme="minorHAnsi" w:cstheme="minorHAnsi"/>
          <w:sz w:val="22"/>
          <w:szCs w:val="22"/>
        </w:rPr>
        <w:t>:</w:t>
      </w:r>
    </w:p>
    <w:p w14:paraId="079631AB" w14:textId="77777777" w:rsidR="00EB27A8" w:rsidRPr="00B45DF6" w:rsidRDefault="00EB27A8">
      <w:pPr>
        <w:jc w:val="left"/>
        <w:rPr>
          <w:rFonts w:asciiTheme="minorHAnsi" w:hAnsiTheme="minorHAnsi" w:cstheme="minorHAnsi"/>
          <w:sz w:val="22"/>
          <w:szCs w:val="22"/>
        </w:rPr>
      </w:pPr>
    </w:p>
    <w:p w14:paraId="27FC229F" w14:textId="69F56FCE" w:rsidR="00EB27A8" w:rsidRPr="00B45DF6" w:rsidRDefault="007E06AD">
      <w:pPr>
        <w:jc w:val="left"/>
        <w:rPr>
          <w:rFonts w:asciiTheme="minorHAnsi" w:hAnsiTheme="minorHAnsi" w:cstheme="minorHAnsi"/>
          <w:b/>
          <w:sz w:val="22"/>
          <w:szCs w:val="22"/>
        </w:rPr>
      </w:pPr>
      <w:r>
        <w:rPr>
          <w:rFonts w:asciiTheme="minorHAnsi" w:hAnsiTheme="minorHAnsi" w:cstheme="minorHAnsi"/>
          <w:b/>
          <w:sz w:val="22"/>
          <w:szCs w:val="22"/>
        </w:rPr>
        <w:t>Craig Schubauer</w:t>
      </w:r>
    </w:p>
    <w:p w14:paraId="0EC8FBC4" w14:textId="5B518971" w:rsidR="00EB27A8" w:rsidRPr="00B45DF6" w:rsidRDefault="007E06AD">
      <w:pPr>
        <w:jc w:val="left"/>
        <w:rPr>
          <w:rFonts w:asciiTheme="minorHAnsi" w:hAnsiTheme="minorHAnsi" w:cstheme="minorHAnsi"/>
          <w:sz w:val="22"/>
          <w:szCs w:val="22"/>
        </w:rPr>
      </w:pPr>
      <w:r>
        <w:rPr>
          <w:rFonts w:asciiTheme="minorHAnsi" w:hAnsiTheme="minorHAnsi" w:cstheme="minorHAnsi"/>
          <w:sz w:val="22"/>
          <w:szCs w:val="22"/>
        </w:rPr>
        <w:t xml:space="preserve">Wholesale Market Manager </w:t>
      </w:r>
    </w:p>
    <w:p w14:paraId="4F6F450D" w14:textId="77777777" w:rsidR="00EB27A8" w:rsidRPr="00B45DF6" w:rsidRDefault="00EB27A8">
      <w:pPr>
        <w:jc w:val="left"/>
        <w:rPr>
          <w:rFonts w:asciiTheme="minorHAnsi" w:hAnsiTheme="minorHAnsi" w:cstheme="minorHAnsi"/>
          <w:sz w:val="22"/>
          <w:szCs w:val="22"/>
        </w:rPr>
      </w:pPr>
      <w:r w:rsidRPr="00B45DF6">
        <w:rPr>
          <w:rFonts w:asciiTheme="minorHAnsi" w:hAnsiTheme="minorHAnsi" w:cstheme="minorHAnsi"/>
          <w:sz w:val="22"/>
          <w:szCs w:val="22"/>
        </w:rPr>
        <w:t>Trustpower Limited</w:t>
      </w:r>
    </w:p>
    <w:p w14:paraId="20DF3193" w14:textId="35C97A2A" w:rsidR="00EB27A8" w:rsidRPr="00B45DF6" w:rsidRDefault="00025303" w:rsidP="00EB27A8">
      <w:pPr>
        <w:jc w:val="left"/>
        <w:rPr>
          <w:rFonts w:asciiTheme="minorHAnsi" w:hAnsiTheme="minorHAnsi" w:cstheme="minorHAnsi"/>
          <w:sz w:val="22"/>
          <w:szCs w:val="22"/>
        </w:rPr>
      </w:pPr>
      <w:r>
        <w:rPr>
          <w:rFonts w:asciiTheme="minorHAnsi" w:hAnsiTheme="minorHAnsi" w:cstheme="minorHAnsi"/>
          <w:sz w:val="22"/>
          <w:szCs w:val="22"/>
        </w:rPr>
        <w:t>Durham St</w:t>
      </w:r>
    </w:p>
    <w:p w14:paraId="2D7D8D46" w14:textId="77777777" w:rsidR="00EB27A8" w:rsidRPr="00B45DF6" w:rsidRDefault="00EB27A8" w:rsidP="00EB27A8">
      <w:pPr>
        <w:jc w:val="left"/>
        <w:rPr>
          <w:rFonts w:asciiTheme="minorHAnsi" w:hAnsiTheme="minorHAnsi" w:cstheme="minorHAnsi"/>
          <w:sz w:val="22"/>
          <w:szCs w:val="22"/>
        </w:rPr>
      </w:pPr>
      <w:r w:rsidRPr="00B45DF6">
        <w:rPr>
          <w:rFonts w:asciiTheme="minorHAnsi" w:hAnsiTheme="minorHAnsi" w:cstheme="minorHAnsi"/>
          <w:sz w:val="22"/>
          <w:szCs w:val="22"/>
        </w:rPr>
        <w:t>Tauranga</w:t>
      </w:r>
    </w:p>
    <w:p w14:paraId="44A18B19" w14:textId="77777777" w:rsidR="00EB27A8" w:rsidRPr="00B45DF6" w:rsidRDefault="00EB27A8" w:rsidP="00EB27A8">
      <w:pPr>
        <w:jc w:val="left"/>
        <w:rPr>
          <w:rFonts w:asciiTheme="minorHAnsi" w:hAnsiTheme="minorHAnsi" w:cstheme="minorHAnsi"/>
          <w:sz w:val="22"/>
          <w:szCs w:val="22"/>
        </w:rPr>
      </w:pPr>
    </w:p>
    <w:p w14:paraId="046221AA" w14:textId="77777777" w:rsidR="00EB27A8" w:rsidRPr="00B45DF6" w:rsidRDefault="00EB27A8" w:rsidP="00EB27A8">
      <w:pPr>
        <w:jc w:val="left"/>
        <w:rPr>
          <w:rFonts w:asciiTheme="minorHAnsi" w:hAnsiTheme="minorHAnsi" w:cstheme="minorHAnsi"/>
          <w:sz w:val="22"/>
          <w:szCs w:val="22"/>
        </w:rPr>
      </w:pPr>
      <w:r w:rsidRPr="00B45DF6">
        <w:rPr>
          <w:rFonts w:asciiTheme="minorHAnsi" w:hAnsiTheme="minorHAnsi" w:cstheme="minorHAnsi"/>
          <w:sz w:val="22"/>
          <w:szCs w:val="22"/>
        </w:rPr>
        <w:t xml:space="preserve">Private Bag 12023 </w:t>
      </w:r>
    </w:p>
    <w:p w14:paraId="43B23998" w14:textId="77777777" w:rsidR="00EB27A8" w:rsidRPr="00B45DF6" w:rsidRDefault="00EB27A8" w:rsidP="00EB27A8">
      <w:pPr>
        <w:jc w:val="left"/>
        <w:rPr>
          <w:rFonts w:asciiTheme="minorHAnsi" w:hAnsiTheme="minorHAnsi" w:cstheme="minorHAnsi"/>
          <w:sz w:val="22"/>
          <w:szCs w:val="22"/>
        </w:rPr>
      </w:pPr>
      <w:r w:rsidRPr="00B45DF6">
        <w:rPr>
          <w:rFonts w:asciiTheme="minorHAnsi" w:hAnsiTheme="minorHAnsi" w:cstheme="minorHAnsi"/>
          <w:sz w:val="22"/>
          <w:szCs w:val="22"/>
        </w:rPr>
        <w:t xml:space="preserve">Tauranga Mail Centre </w:t>
      </w:r>
    </w:p>
    <w:p w14:paraId="275856F5" w14:textId="77777777" w:rsidR="00EB27A8" w:rsidRPr="00B45DF6" w:rsidRDefault="00EB27A8" w:rsidP="00EB27A8">
      <w:pPr>
        <w:jc w:val="left"/>
        <w:rPr>
          <w:rFonts w:asciiTheme="minorHAnsi" w:hAnsiTheme="minorHAnsi" w:cstheme="minorHAnsi"/>
          <w:sz w:val="22"/>
          <w:szCs w:val="22"/>
        </w:rPr>
      </w:pPr>
      <w:r w:rsidRPr="00B45DF6">
        <w:rPr>
          <w:rFonts w:asciiTheme="minorHAnsi" w:hAnsiTheme="minorHAnsi" w:cstheme="minorHAnsi"/>
          <w:sz w:val="22"/>
          <w:szCs w:val="22"/>
        </w:rPr>
        <w:t>Tauranga 3143</w:t>
      </w:r>
    </w:p>
    <w:p w14:paraId="030CCD93" w14:textId="77777777" w:rsidR="00EB27A8" w:rsidRPr="00B45DF6" w:rsidRDefault="00EB27A8">
      <w:pPr>
        <w:jc w:val="left"/>
        <w:rPr>
          <w:rFonts w:asciiTheme="minorHAnsi" w:hAnsiTheme="minorHAnsi" w:cstheme="minorHAnsi"/>
          <w:sz w:val="22"/>
          <w:szCs w:val="22"/>
        </w:rPr>
      </w:pPr>
    </w:p>
    <w:p w14:paraId="1D372857" w14:textId="7378F041" w:rsidR="00EB27A8" w:rsidRPr="00B45DF6" w:rsidRDefault="00EB27A8">
      <w:pPr>
        <w:jc w:val="left"/>
        <w:rPr>
          <w:rFonts w:asciiTheme="minorHAnsi" w:hAnsiTheme="minorHAnsi" w:cstheme="minorHAnsi"/>
          <w:sz w:val="22"/>
          <w:szCs w:val="22"/>
        </w:rPr>
      </w:pPr>
      <w:r w:rsidRPr="00B45DF6">
        <w:rPr>
          <w:rFonts w:asciiTheme="minorHAnsi" w:hAnsiTheme="minorHAnsi" w:cstheme="minorHAnsi"/>
          <w:sz w:val="22"/>
          <w:szCs w:val="22"/>
        </w:rPr>
        <w:t xml:space="preserve">Email: </w:t>
      </w:r>
      <w:r w:rsidR="007102E0" w:rsidRPr="00B45DF6">
        <w:rPr>
          <w:rFonts w:asciiTheme="minorHAnsi" w:hAnsiTheme="minorHAnsi" w:cstheme="minorHAnsi"/>
          <w:sz w:val="22"/>
          <w:szCs w:val="22"/>
        </w:rPr>
        <w:tab/>
      </w:r>
      <w:r w:rsidR="007E06AD">
        <w:rPr>
          <w:rFonts w:asciiTheme="minorHAnsi" w:hAnsiTheme="minorHAnsi" w:cstheme="minorHAnsi"/>
          <w:sz w:val="22"/>
          <w:szCs w:val="22"/>
        </w:rPr>
        <w:t>craig.schubauer@trustpower.co.nz</w:t>
      </w:r>
    </w:p>
    <w:p w14:paraId="68136454" w14:textId="77777777" w:rsidR="00EB27A8" w:rsidRPr="00B45DF6" w:rsidRDefault="00EB27A8">
      <w:pPr>
        <w:jc w:val="left"/>
        <w:rPr>
          <w:rFonts w:asciiTheme="minorHAnsi" w:hAnsiTheme="minorHAnsi" w:cstheme="minorHAnsi"/>
          <w:sz w:val="22"/>
          <w:szCs w:val="22"/>
        </w:rPr>
      </w:pPr>
      <w:r w:rsidRPr="00B45DF6">
        <w:rPr>
          <w:rFonts w:asciiTheme="minorHAnsi" w:hAnsiTheme="minorHAnsi" w:cstheme="minorHAnsi"/>
          <w:sz w:val="22"/>
          <w:szCs w:val="22"/>
        </w:rPr>
        <w:t xml:space="preserve">Phone: </w:t>
      </w:r>
      <w:r w:rsidR="007102E0" w:rsidRPr="00B45DF6">
        <w:rPr>
          <w:rFonts w:asciiTheme="minorHAnsi" w:hAnsiTheme="minorHAnsi" w:cstheme="minorHAnsi"/>
          <w:sz w:val="22"/>
          <w:szCs w:val="22"/>
        </w:rPr>
        <w:tab/>
      </w:r>
      <w:r w:rsidRPr="00B45DF6">
        <w:rPr>
          <w:rFonts w:asciiTheme="minorHAnsi" w:hAnsiTheme="minorHAnsi" w:cstheme="minorHAnsi"/>
          <w:sz w:val="22"/>
          <w:szCs w:val="22"/>
        </w:rPr>
        <w:t>(07) 572 9888</w:t>
      </w:r>
    </w:p>
    <w:p w14:paraId="4AFCC960" w14:textId="3730850C" w:rsidR="00953035" w:rsidRDefault="00953035" w:rsidP="007050E5">
      <w:pPr>
        <w:pStyle w:val="BodyText-NotIndented"/>
      </w:pPr>
    </w:p>
    <w:p w14:paraId="5B6CF001" w14:textId="72F2FF2E" w:rsidR="00353695" w:rsidRDefault="00353695" w:rsidP="007050E5">
      <w:pPr>
        <w:pStyle w:val="BodyText-NotIndented"/>
      </w:pPr>
      <w:r>
        <w:t>or</w:t>
      </w:r>
    </w:p>
    <w:p w14:paraId="698E3CA6" w14:textId="77777777" w:rsidR="00353695" w:rsidRDefault="00353695" w:rsidP="007050E5">
      <w:pPr>
        <w:pStyle w:val="BodyText-NotIndented"/>
      </w:pPr>
    </w:p>
    <w:p w14:paraId="5B8F6F18" w14:textId="1D33983A" w:rsidR="007E06AD" w:rsidRPr="00B45DF6" w:rsidRDefault="007E06AD" w:rsidP="007E06AD">
      <w:pPr>
        <w:jc w:val="left"/>
        <w:rPr>
          <w:rFonts w:asciiTheme="minorHAnsi" w:hAnsiTheme="minorHAnsi" w:cstheme="minorHAnsi"/>
          <w:b/>
          <w:sz w:val="22"/>
          <w:szCs w:val="22"/>
        </w:rPr>
      </w:pPr>
      <w:r>
        <w:rPr>
          <w:rFonts w:asciiTheme="minorHAnsi" w:hAnsiTheme="minorHAnsi" w:cstheme="minorHAnsi"/>
          <w:b/>
          <w:sz w:val="22"/>
          <w:szCs w:val="22"/>
        </w:rPr>
        <w:t>Fiona Wiseman</w:t>
      </w:r>
    </w:p>
    <w:p w14:paraId="28A5E567" w14:textId="6EC4DEFB" w:rsidR="007E06AD" w:rsidRPr="00B45DF6" w:rsidRDefault="007E06AD" w:rsidP="007E06AD">
      <w:pPr>
        <w:jc w:val="left"/>
        <w:rPr>
          <w:rFonts w:asciiTheme="minorHAnsi" w:hAnsiTheme="minorHAnsi" w:cstheme="minorHAnsi"/>
          <w:sz w:val="22"/>
          <w:szCs w:val="22"/>
        </w:rPr>
      </w:pPr>
      <w:r>
        <w:rPr>
          <w:rFonts w:asciiTheme="minorHAnsi" w:hAnsiTheme="minorHAnsi" w:cstheme="minorHAnsi"/>
          <w:sz w:val="22"/>
          <w:szCs w:val="22"/>
        </w:rPr>
        <w:t>Senior Advisor, Strategy and Regulation</w:t>
      </w:r>
    </w:p>
    <w:p w14:paraId="7F5E79A7" w14:textId="77777777" w:rsidR="007E06AD" w:rsidRPr="00B45DF6" w:rsidRDefault="007E06AD" w:rsidP="007E06AD">
      <w:pPr>
        <w:jc w:val="left"/>
        <w:rPr>
          <w:rFonts w:asciiTheme="minorHAnsi" w:hAnsiTheme="minorHAnsi" w:cstheme="minorHAnsi"/>
          <w:sz w:val="22"/>
          <w:szCs w:val="22"/>
        </w:rPr>
      </w:pPr>
      <w:r w:rsidRPr="00B45DF6">
        <w:rPr>
          <w:rFonts w:asciiTheme="minorHAnsi" w:hAnsiTheme="minorHAnsi" w:cstheme="minorHAnsi"/>
          <w:sz w:val="22"/>
          <w:szCs w:val="22"/>
        </w:rPr>
        <w:t>Trustpower Limited</w:t>
      </w:r>
    </w:p>
    <w:p w14:paraId="666E08AE" w14:textId="77777777" w:rsidR="007E06AD" w:rsidRPr="00B45DF6" w:rsidRDefault="007E06AD" w:rsidP="007E06AD">
      <w:pPr>
        <w:jc w:val="left"/>
        <w:rPr>
          <w:rFonts w:asciiTheme="minorHAnsi" w:hAnsiTheme="minorHAnsi" w:cstheme="minorHAnsi"/>
          <w:sz w:val="22"/>
          <w:szCs w:val="22"/>
        </w:rPr>
      </w:pPr>
      <w:r>
        <w:rPr>
          <w:rFonts w:asciiTheme="minorHAnsi" w:hAnsiTheme="minorHAnsi" w:cstheme="minorHAnsi"/>
          <w:sz w:val="22"/>
          <w:szCs w:val="22"/>
        </w:rPr>
        <w:t>Durham St</w:t>
      </w:r>
    </w:p>
    <w:p w14:paraId="264FF5B8" w14:textId="77777777" w:rsidR="007E06AD" w:rsidRPr="00B45DF6" w:rsidRDefault="007E06AD" w:rsidP="007E06AD">
      <w:pPr>
        <w:jc w:val="left"/>
        <w:rPr>
          <w:rFonts w:asciiTheme="minorHAnsi" w:hAnsiTheme="minorHAnsi" w:cstheme="minorHAnsi"/>
          <w:sz w:val="22"/>
          <w:szCs w:val="22"/>
        </w:rPr>
      </w:pPr>
      <w:r w:rsidRPr="00B45DF6">
        <w:rPr>
          <w:rFonts w:asciiTheme="minorHAnsi" w:hAnsiTheme="minorHAnsi" w:cstheme="minorHAnsi"/>
          <w:sz w:val="22"/>
          <w:szCs w:val="22"/>
        </w:rPr>
        <w:t>Tauranga</w:t>
      </w:r>
    </w:p>
    <w:p w14:paraId="64926D02" w14:textId="77777777" w:rsidR="007E06AD" w:rsidRPr="00B45DF6" w:rsidRDefault="007E06AD" w:rsidP="007E06AD">
      <w:pPr>
        <w:jc w:val="left"/>
        <w:rPr>
          <w:rFonts w:asciiTheme="minorHAnsi" w:hAnsiTheme="minorHAnsi" w:cstheme="minorHAnsi"/>
          <w:sz w:val="22"/>
          <w:szCs w:val="22"/>
        </w:rPr>
      </w:pPr>
    </w:p>
    <w:p w14:paraId="606CC569" w14:textId="77777777" w:rsidR="007E06AD" w:rsidRPr="00B45DF6" w:rsidRDefault="007E06AD" w:rsidP="007E06AD">
      <w:pPr>
        <w:jc w:val="left"/>
        <w:rPr>
          <w:rFonts w:asciiTheme="minorHAnsi" w:hAnsiTheme="minorHAnsi" w:cstheme="minorHAnsi"/>
          <w:sz w:val="22"/>
          <w:szCs w:val="22"/>
        </w:rPr>
      </w:pPr>
      <w:r w:rsidRPr="00B45DF6">
        <w:rPr>
          <w:rFonts w:asciiTheme="minorHAnsi" w:hAnsiTheme="minorHAnsi" w:cstheme="minorHAnsi"/>
          <w:sz w:val="22"/>
          <w:szCs w:val="22"/>
        </w:rPr>
        <w:t xml:space="preserve">Private Bag 12023 </w:t>
      </w:r>
    </w:p>
    <w:p w14:paraId="47DE2543" w14:textId="77777777" w:rsidR="007E06AD" w:rsidRPr="00B45DF6" w:rsidRDefault="007E06AD" w:rsidP="007E06AD">
      <w:pPr>
        <w:jc w:val="left"/>
        <w:rPr>
          <w:rFonts w:asciiTheme="minorHAnsi" w:hAnsiTheme="minorHAnsi" w:cstheme="minorHAnsi"/>
          <w:sz w:val="22"/>
          <w:szCs w:val="22"/>
        </w:rPr>
      </w:pPr>
      <w:r w:rsidRPr="00B45DF6">
        <w:rPr>
          <w:rFonts w:asciiTheme="minorHAnsi" w:hAnsiTheme="minorHAnsi" w:cstheme="minorHAnsi"/>
          <w:sz w:val="22"/>
          <w:szCs w:val="22"/>
        </w:rPr>
        <w:t xml:space="preserve">Tauranga Mail Centre </w:t>
      </w:r>
    </w:p>
    <w:p w14:paraId="30484632" w14:textId="77777777" w:rsidR="007E06AD" w:rsidRPr="00B45DF6" w:rsidRDefault="007E06AD" w:rsidP="007E06AD">
      <w:pPr>
        <w:jc w:val="left"/>
        <w:rPr>
          <w:rFonts w:asciiTheme="minorHAnsi" w:hAnsiTheme="minorHAnsi" w:cstheme="minorHAnsi"/>
          <w:sz w:val="22"/>
          <w:szCs w:val="22"/>
        </w:rPr>
      </w:pPr>
      <w:r w:rsidRPr="00B45DF6">
        <w:rPr>
          <w:rFonts w:asciiTheme="minorHAnsi" w:hAnsiTheme="minorHAnsi" w:cstheme="minorHAnsi"/>
          <w:sz w:val="22"/>
          <w:szCs w:val="22"/>
        </w:rPr>
        <w:t>Tauranga 3143</w:t>
      </w:r>
    </w:p>
    <w:p w14:paraId="5FB9B13F" w14:textId="77777777" w:rsidR="007E06AD" w:rsidRPr="00B45DF6" w:rsidRDefault="007E06AD" w:rsidP="007E06AD">
      <w:pPr>
        <w:jc w:val="left"/>
        <w:rPr>
          <w:rFonts w:asciiTheme="minorHAnsi" w:hAnsiTheme="minorHAnsi" w:cstheme="minorHAnsi"/>
          <w:sz w:val="22"/>
          <w:szCs w:val="22"/>
        </w:rPr>
      </w:pPr>
    </w:p>
    <w:p w14:paraId="71D1A9DB" w14:textId="5EEC441A" w:rsidR="007E06AD" w:rsidRPr="00B45DF6" w:rsidRDefault="007E06AD" w:rsidP="007E06AD">
      <w:pPr>
        <w:jc w:val="left"/>
        <w:rPr>
          <w:rFonts w:asciiTheme="minorHAnsi" w:hAnsiTheme="minorHAnsi" w:cstheme="minorHAnsi"/>
          <w:sz w:val="22"/>
          <w:szCs w:val="22"/>
        </w:rPr>
      </w:pPr>
      <w:r w:rsidRPr="00B45DF6">
        <w:rPr>
          <w:rFonts w:asciiTheme="minorHAnsi" w:hAnsiTheme="minorHAnsi" w:cstheme="minorHAnsi"/>
          <w:sz w:val="22"/>
          <w:szCs w:val="22"/>
        </w:rPr>
        <w:t xml:space="preserve">Email: </w:t>
      </w:r>
      <w:r w:rsidRPr="00B45DF6">
        <w:rPr>
          <w:rFonts w:asciiTheme="minorHAnsi" w:hAnsiTheme="minorHAnsi" w:cstheme="minorHAnsi"/>
          <w:sz w:val="22"/>
          <w:szCs w:val="22"/>
        </w:rPr>
        <w:tab/>
      </w:r>
      <w:r>
        <w:rPr>
          <w:rFonts w:asciiTheme="minorHAnsi" w:hAnsiTheme="minorHAnsi" w:cstheme="minorHAnsi"/>
          <w:sz w:val="22"/>
          <w:szCs w:val="22"/>
        </w:rPr>
        <w:t>fiona.wiseman@trustpower.co.nz</w:t>
      </w:r>
    </w:p>
    <w:p w14:paraId="136E2CF3" w14:textId="2269E155" w:rsidR="007E06AD" w:rsidRPr="00B45DF6" w:rsidRDefault="007E06AD" w:rsidP="007E06AD">
      <w:pPr>
        <w:jc w:val="left"/>
        <w:rPr>
          <w:rFonts w:asciiTheme="minorHAnsi" w:hAnsiTheme="minorHAnsi" w:cstheme="minorHAnsi"/>
          <w:sz w:val="22"/>
          <w:szCs w:val="22"/>
        </w:rPr>
      </w:pPr>
      <w:r w:rsidRPr="00B45DF6">
        <w:rPr>
          <w:rFonts w:asciiTheme="minorHAnsi" w:hAnsiTheme="minorHAnsi" w:cstheme="minorHAnsi"/>
          <w:sz w:val="22"/>
          <w:szCs w:val="22"/>
        </w:rPr>
        <w:t xml:space="preserve">Phone: </w:t>
      </w:r>
      <w:r w:rsidRPr="00B45DF6">
        <w:rPr>
          <w:rFonts w:asciiTheme="minorHAnsi" w:hAnsiTheme="minorHAnsi" w:cstheme="minorHAnsi"/>
          <w:sz w:val="22"/>
          <w:szCs w:val="22"/>
        </w:rPr>
        <w:tab/>
      </w:r>
      <w:r>
        <w:rPr>
          <w:rFonts w:asciiTheme="minorHAnsi" w:hAnsiTheme="minorHAnsi" w:cstheme="minorHAnsi"/>
          <w:sz w:val="22"/>
          <w:szCs w:val="22"/>
        </w:rPr>
        <w:t>027 549 9330</w:t>
      </w:r>
    </w:p>
    <w:p w14:paraId="5EC64010" w14:textId="4A803075" w:rsidR="00953035" w:rsidRDefault="00953035" w:rsidP="00953035">
      <w:pPr>
        <w:pStyle w:val="BodyText-NotIndented"/>
      </w:pPr>
    </w:p>
    <w:p w14:paraId="32CFD019" w14:textId="29C73379" w:rsidR="007E06AD" w:rsidRDefault="007E06AD" w:rsidP="00953035">
      <w:pPr>
        <w:pStyle w:val="BodyText-NotIndented"/>
      </w:pPr>
    </w:p>
    <w:p w14:paraId="5A0E7947" w14:textId="77777777" w:rsidR="007E06AD" w:rsidRDefault="007E06AD" w:rsidP="00953035">
      <w:pPr>
        <w:pStyle w:val="BodyText-NotIndented"/>
        <w:sectPr w:rsidR="007E06AD" w:rsidSect="00953035">
          <w:headerReference w:type="default" r:id="rId10"/>
          <w:footerReference w:type="default" r:id="rId11"/>
          <w:pgSz w:w="11907" w:h="16840" w:code="9"/>
          <w:pgMar w:top="1440" w:right="1134" w:bottom="1440" w:left="1418" w:header="709" w:footer="709" w:gutter="0"/>
          <w:pgNumType w:fmt="lowerRoman" w:start="1"/>
          <w:cols w:space="708"/>
          <w:docGrid w:linePitch="272"/>
        </w:sectPr>
      </w:pPr>
    </w:p>
    <w:sdt>
      <w:sdtPr>
        <w:rPr>
          <w:rFonts w:ascii="Arial" w:eastAsia="Batang" w:hAnsi="Arial" w:cs="Times New Roman"/>
          <w:b w:val="0"/>
          <w:bCs w:val="0"/>
          <w:noProof w:val="0"/>
          <w:color w:val="auto"/>
          <w:sz w:val="20"/>
          <w:szCs w:val="20"/>
          <w:lang w:val="en-NZ"/>
        </w:rPr>
        <w:id w:val="749464294"/>
        <w:docPartObj>
          <w:docPartGallery w:val="Table of Contents"/>
          <w:docPartUnique/>
        </w:docPartObj>
      </w:sdtPr>
      <w:sdtContent>
        <w:p w14:paraId="4F978337" w14:textId="77777777" w:rsidR="00E97DF8" w:rsidRPr="00FA324F" w:rsidRDefault="00E97DF8" w:rsidP="00FA324F">
          <w:pPr>
            <w:pStyle w:val="TOCHeading"/>
          </w:pPr>
          <w:r w:rsidRPr="00FA324F">
            <w:t>Contents</w:t>
          </w:r>
        </w:p>
        <w:p w14:paraId="2ACE3EDF" w14:textId="681E622F" w:rsidR="0060741B" w:rsidRDefault="00147652">
          <w:pPr>
            <w:pStyle w:val="TOC1"/>
            <w:rPr>
              <w:rFonts w:eastAsiaTheme="minorEastAsia" w:cstheme="minorBidi"/>
              <w:b w:val="0"/>
              <w:sz w:val="22"/>
              <w:szCs w:val="22"/>
              <w:lang w:eastAsia="en-NZ"/>
            </w:rPr>
          </w:pPr>
          <w:r>
            <w:fldChar w:fldCharType="begin"/>
          </w:r>
          <w:r>
            <w:instrText xml:space="preserve"> TOC \o "1-1" \h \z \t "Heading 2,2,ME Legal 2,2,H2#,2,RWS lvl2,2,Legal 2,2,RecommendationHeading,2,Numbered_subheading,2,Sch 2,2,Subheading,2,Subtitle,2,Heading 2 No Number,2" </w:instrText>
          </w:r>
          <w:r>
            <w:fldChar w:fldCharType="separate"/>
          </w:r>
          <w:hyperlink w:anchor="_Toc495327982" w:history="1">
            <w:r w:rsidR="0060741B" w:rsidRPr="0028703A">
              <w:rPr>
                <w:rStyle w:val="Hyperlink"/>
              </w:rPr>
              <w:t>1</w:t>
            </w:r>
            <w:r w:rsidR="0060741B">
              <w:rPr>
                <w:rFonts w:eastAsiaTheme="minorEastAsia" w:cstheme="minorBidi"/>
                <w:b w:val="0"/>
                <w:sz w:val="22"/>
                <w:szCs w:val="22"/>
                <w:lang w:eastAsia="en-NZ"/>
              </w:rPr>
              <w:tab/>
            </w:r>
            <w:r w:rsidR="0060741B" w:rsidRPr="0028703A">
              <w:rPr>
                <w:rStyle w:val="Hyperlink"/>
              </w:rPr>
              <w:t>Introduction and Background</w:t>
            </w:r>
            <w:r w:rsidR="0060741B">
              <w:rPr>
                <w:webHidden/>
              </w:rPr>
              <w:tab/>
            </w:r>
            <w:r w:rsidR="0060741B">
              <w:rPr>
                <w:webHidden/>
              </w:rPr>
              <w:fldChar w:fldCharType="begin"/>
            </w:r>
            <w:r w:rsidR="0060741B">
              <w:rPr>
                <w:webHidden/>
              </w:rPr>
              <w:instrText xml:space="preserve"> PAGEREF _Toc495327982 \h </w:instrText>
            </w:r>
            <w:r w:rsidR="0060741B">
              <w:rPr>
                <w:webHidden/>
              </w:rPr>
            </w:r>
            <w:r w:rsidR="0060741B">
              <w:rPr>
                <w:webHidden/>
              </w:rPr>
              <w:fldChar w:fldCharType="separate"/>
            </w:r>
            <w:r w:rsidR="008008CD">
              <w:rPr>
                <w:webHidden/>
              </w:rPr>
              <w:t>2</w:t>
            </w:r>
            <w:r w:rsidR="0060741B">
              <w:rPr>
                <w:webHidden/>
              </w:rPr>
              <w:fldChar w:fldCharType="end"/>
            </w:r>
          </w:hyperlink>
        </w:p>
        <w:p w14:paraId="454ECBC0" w14:textId="124E716D" w:rsidR="0060741B" w:rsidRDefault="0060741B">
          <w:pPr>
            <w:pStyle w:val="TOC2"/>
            <w:rPr>
              <w:rFonts w:eastAsiaTheme="minorEastAsia" w:cstheme="minorBidi"/>
              <w:szCs w:val="22"/>
              <w:lang w:eastAsia="en-NZ"/>
            </w:rPr>
          </w:pPr>
          <w:hyperlink w:anchor="_Toc495327983" w:history="1">
            <w:r w:rsidRPr="0028703A">
              <w:rPr>
                <w:rStyle w:val="Hyperlink"/>
              </w:rPr>
              <w:t>1.1</w:t>
            </w:r>
            <w:r>
              <w:rPr>
                <w:rFonts w:eastAsiaTheme="minorEastAsia" w:cstheme="minorBidi"/>
                <w:szCs w:val="22"/>
                <w:lang w:eastAsia="en-NZ"/>
              </w:rPr>
              <w:tab/>
            </w:r>
            <w:r w:rsidRPr="0028703A">
              <w:rPr>
                <w:rStyle w:val="Hyperlink"/>
              </w:rPr>
              <w:t>Introduction</w:t>
            </w:r>
            <w:r>
              <w:rPr>
                <w:webHidden/>
              </w:rPr>
              <w:tab/>
            </w:r>
            <w:r>
              <w:rPr>
                <w:webHidden/>
              </w:rPr>
              <w:fldChar w:fldCharType="begin"/>
            </w:r>
            <w:r>
              <w:rPr>
                <w:webHidden/>
              </w:rPr>
              <w:instrText xml:space="preserve"> PAGEREF _Toc495327983 \h </w:instrText>
            </w:r>
            <w:r>
              <w:rPr>
                <w:webHidden/>
              </w:rPr>
            </w:r>
            <w:r>
              <w:rPr>
                <w:webHidden/>
              </w:rPr>
              <w:fldChar w:fldCharType="separate"/>
            </w:r>
            <w:r w:rsidR="008008CD">
              <w:rPr>
                <w:webHidden/>
              </w:rPr>
              <w:t>2</w:t>
            </w:r>
            <w:r>
              <w:rPr>
                <w:webHidden/>
              </w:rPr>
              <w:fldChar w:fldCharType="end"/>
            </w:r>
          </w:hyperlink>
        </w:p>
        <w:p w14:paraId="7AEB5D50" w14:textId="5C90E197" w:rsidR="0060741B" w:rsidRDefault="0060741B">
          <w:pPr>
            <w:pStyle w:val="TOC2"/>
            <w:rPr>
              <w:rFonts w:eastAsiaTheme="minorEastAsia" w:cstheme="minorBidi"/>
              <w:szCs w:val="22"/>
              <w:lang w:eastAsia="en-NZ"/>
            </w:rPr>
          </w:pPr>
          <w:hyperlink w:anchor="_Toc495327984" w:history="1">
            <w:r w:rsidRPr="0028703A">
              <w:rPr>
                <w:rStyle w:val="Hyperlink"/>
              </w:rPr>
              <w:t>1.2</w:t>
            </w:r>
            <w:r>
              <w:rPr>
                <w:rFonts w:eastAsiaTheme="minorEastAsia" w:cstheme="minorBidi"/>
                <w:szCs w:val="22"/>
                <w:lang w:eastAsia="en-NZ"/>
              </w:rPr>
              <w:tab/>
            </w:r>
            <w:r w:rsidRPr="0028703A">
              <w:rPr>
                <w:rStyle w:val="Hyperlink"/>
              </w:rPr>
              <w:t>Background</w:t>
            </w:r>
            <w:r>
              <w:rPr>
                <w:webHidden/>
              </w:rPr>
              <w:tab/>
            </w:r>
            <w:r>
              <w:rPr>
                <w:webHidden/>
              </w:rPr>
              <w:fldChar w:fldCharType="begin"/>
            </w:r>
            <w:r>
              <w:rPr>
                <w:webHidden/>
              </w:rPr>
              <w:instrText xml:space="preserve"> PAGEREF _Toc495327984 \h </w:instrText>
            </w:r>
            <w:r>
              <w:rPr>
                <w:webHidden/>
              </w:rPr>
            </w:r>
            <w:r>
              <w:rPr>
                <w:webHidden/>
              </w:rPr>
              <w:fldChar w:fldCharType="separate"/>
            </w:r>
            <w:r w:rsidR="008008CD">
              <w:rPr>
                <w:webHidden/>
              </w:rPr>
              <w:t>2</w:t>
            </w:r>
            <w:r>
              <w:rPr>
                <w:webHidden/>
              </w:rPr>
              <w:fldChar w:fldCharType="end"/>
            </w:r>
          </w:hyperlink>
        </w:p>
        <w:p w14:paraId="3267BABA" w14:textId="3F186CEC" w:rsidR="0060741B" w:rsidRDefault="0060741B">
          <w:pPr>
            <w:pStyle w:val="TOC1"/>
            <w:rPr>
              <w:rFonts w:eastAsiaTheme="minorEastAsia" w:cstheme="minorBidi"/>
              <w:b w:val="0"/>
              <w:sz w:val="22"/>
              <w:szCs w:val="22"/>
              <w:lang w:eastAsia="en-NZ"/>
            </w:rPr>
          </w:pPr>
          <w:hyperlink w:anchor="_Toc495327985" w:history="1">
            <w:r w:rsidRPr="0028703A">
              <w:rPr>
                <w:rStyle w:val="Hyperlink"/>
              </w:rPr>
              <w:t>2</w:t>
            </w:r>
            <w:r>
              <w:rPr>
                <w:rFonts w:eastAsiaTheme="minorEastAsia" w:cstheme="minorBidi"/>
                <w:b w:val="0"/>
                <w:sz w:val="22"/>
                <w:szCs w:val="22"/>
                <w:lang w:eastAsia="en-NZ"/>
              </w:rPr>
              <w:tab/>
            </w:r>
            <w:r w:rsidRPr="0028703A">
              <w:rPr>
                <w:rStyle w:val="Hyperlink"/>
              </w:rPr>
              <w:t>Trustpower’s views</w:t>
            </w:r>
            <w:r>
              <w:rPr>
                <w:webHidden/>
              </w:rPr>
              <w:tab/>
            </w:r>
            <w:r>
              <w:rPr>
                <w:webHidden/>
              </w:rPr>
              <w:fldChar w:fldCharType="begin"/>
            </w:r>
            <w:r>
              <w:rPr>
                <w:webHidden/>
              </w:rPr>
              <w:instrText xml:space="preserve"> PAGEREF _Toc495327985 \h </w:instrText>
            </w:r>
            <w:r>
              <w:rPr>
                <w:webHidden/>
              </w:rPr>
            </w:r>
            <w:r>
              <w:rPr>
                <w:webHidden/>
              </w:rPr>
              <w:fldChar w:fldCharType="separate"/>
            </w:r>
            <w:r w:rsidR="008008CD">
              <w:rPr>
                <w:webHidden/>
              </w:rPr>
              <w:t>3</w:t>
            </w:r>
            <w:r>
              <w:rPr>
                <w:webHidden/>
              </w:rPr>
              <w:fldChar w:fldCharType="end"/>
            </w:r>
          </w:hyperlink>
        </w:p>
        <w:p w14:paraId="5073445E" w14:textId="47DC758B" w:rsidR="0060741B" w:rsidRDefault="0060741B">
          <w:pPr>
            <w:pStyle w:val="TOC2"/>
            <w:rPr>
              <w:rFonts w:eastAsiaTheme="minorEastAsia" w:cstheme="minorBidi"/>
              <w:szCs w:val="22"/>
              <w:lang w:eastAsia="en-NZ"/>
            </w:rPr>
          </w:pPr>
          <w:hyperlink w:anchor="_Toc495327986" w:history="1">
            <w:r w:rsidRPr="0028703A">
              <w:rPr>
                <w:rStyle w:val="Hyperlink"/>
              </w:rPr>
              <w:t>2.1</w:t>
            </w:r>
            <w:r>
              <w:rPr>
                <w:rFonts w:eastAsiaTheme="minorEastAsia" w:cstheme="minorBidi"/>
                <w:szCs w:val="22"/>
                <w:lang w:eastAsia="en-NZ"/>
              </w:rPr>
              <w:tab/>
            </w:r>
            <w:r w:rsidRPr="0028703A">
              <w:rPr>
                <w:rStyle w:val="Hyperlink"/>
              </w:rPr>
              <w:t>Executive Summary</w:t>
            </w:r>
            <w:r>
              <w:rPr>
                <w:webHidden/>
              </w:rPr>
              <w:tab/>
            </w:r>
            <w:r>
              <w:rPr>
                <w:webHidden/>
              </w:rPr>
              <w:fldChar w:fldCharType="begin"/>
            </w:r>
            <w:r>
              <w:rPr>
                <w:webHidden/>
              </w:rPr>
              <w:instrText xml:space="preserve"> PAGEREF _Toc495327986 \h </w:instrText>
            </w:r>
            <w:r>
              <w:rPr>
                <w:webHidden/>
              </w:rPr>
            </w:r>
            <w:r>
              <w:rPr>
                <w:webHidden/>
              </w:rPr>
              <w:fldChar w:fldCharType="separate"/>
            </w:r>
            <w:r w:rsidR="008008CD">
              <w:rPr>
                <w:webHidden/>
              </w:rPr>
              <w:t>3</w:t>
            </w:r>
            <w:r>
              <w:rPr>
                <w:webHidden/>
              </w:rPr>
              <w:fldChar w:fldCharType="end"/>
            </w:r>
          </w:hyperlink>
        </w:p>
        <w:p w14:paraId="711298F8" w14:textId="6E9A53CF" w:rsidR="0060741B" w:rsidRDefault="0060741B">
          <w:pPr>
            <w:pStyle w:val="TOC2"/>
            <w:rPr>
              <w:rFonts w:eastAsiaTheme="minorEastAsia" w:cstheme="minorBidi"/>
              <w:szCs w:val="22"/>
              <w:lang w:eastAsia="en-NZ"/>
            </w:rPr>
          </w:pPr>
          <w:hyperlink w:anchor="_Toc495327987" w:history="1">
            <w:r w:rsidRPr="0028703A">
              <w:rPr>
                <w:rStyle w:val="Hyperlink"/>
              </w:rPr>
              <w:t>2.2</w:t>
            </w:r>
            <w:r>
              <w:rPr>
                <w:rFonts w:eastAsiaTheme="minorEastAsia" w:cstheme="minorBidi"/>
                <w:szCs w:val="22"/>
                <w:lang w:eastAsia="en-NZ"/>
              </w:rPr>
              <w:tab/>
            </w:r>
            <w:r w:rsidRPr="0028703A">
              <w:rPr>
                <w:rStyle w:val="Hyperlink"/>
              </w:rPr>
              <w:t>Structure of this response</w:t>
            </w:r>
            <w:r>
              <w:rPr>
                <w:webHidden/>
              </w:rPr>
              <w:tab/>
            </w:r>
            <w:r>
              <w:rPr>
                <w:webHidden/>
              </w:rPr>
              <w:fldChar w:fldCharType="begin"/>
            </w:r>
            <w:r>
              <w:rPr>
                <w:webHidden/>
              </w:rPr>
              <w:instrText xml:space="preserve"> PAGEREF _Toc495327987 \h </w:instrText>
            </w:r>
            <w:r>
              <w:rPr>
                <w:webHidden/>
              </w:rPr>
            </w:r>
            <w:r>
              <w:rPr>
                <w:webHidden/>
              </w:rPr>
              <w:fldChar w:fldCharType="separate"/>
            </w:r>
            <w:r w:rsidR="008008CD">
              <w:rPr>
                <w:webHidden/>
              </w:rPr>
              <w:t>5</w:t>
            </w:r>
            <w:r>
              <w:rPr>
                <w:webHidden/>
              </w:rPr>
              <w:fldChar w:fldCharType="end"/>
            </w:r>
          </w:hyperlink>
        </w:p>
        <w:p w14:paraId="71836597" w14:textId="35924571" w:rsidR="0060741B" w:rsidRDefault="0060741B">
          <w:pPr>
            <w:pStyle w:val="TOC2"/>
            <w:rPr>
              <w:rFonts w:eastAsiaTheme="minorEastAsia" w:cstheme="minorBidi"/>
              <w:szCs w:val="22"/>
              <w:lang w:eastAsia="en-NZ"/>
            </w:rPr>
          </w:pPr>
          <w:hyperlink w:anchor="_Toc495327988" w:history="1">
            <w:r w:rsidRPr="0028703A">
              <w:rPr>
                <w:rStyle w:val="Hyperlink"/>
              </w:rPr>
              <w:t>2.3</w:t>
            </w:r>
            <w:r>
              <w:rPr>
                <w:rFonts w:eastAsiaTheme="minorEastAsia" w:cstheme="minorBidi"/>
                <w:szCs w:val="22"/>
                <w:lang w:eastAsia="en-NZ"/>
              </w:rPr>
              <w:tab/>
            </w:r>
            <w:r w:rsidRPr="0028703A">
              <w:rPr>
                <w:rStyle w:val="Hyperlink"/>
              </w:rPr>
              <w:t>Issues with design of Priority Rights arrangements</w:t>
            </w:r>
            <w:r>
              <w:rPr>
                <w:webHidden/>
              </w:rPr>
              <w:tab/>
            </w:r>
            <w:r>
              <w:rPr>
                <w:webHidden/>
              </w:rPr>
              <w:fldChar w:fldCharType="begin"/>
            </w:r>
            <w:r>
              <w:rPr>
                <w:webHidden/>
              </w:rPr>
              <w:instrText xml:space="preserve"> PAGEREF _Toc495327988 \h </w:instrText>
            </w:r>
            <w:r>
              <w:rPr>
                <w:webHidden/>
              </w:rPr>
            </w:r>
            <w:r>
              <w:rPr>
                <w:webHidden/>
              </w:rPr>
              <w:fldChar w:fldCharType="separate"/>
            </w:r>
            <w:r w:rsidR="008008CD">
              <w:rPr>
                <w:webHidden/>
              </w:rPr>
              <w:t>5</w:t>
            </w:r>
            <w:r>
              <w:rPr>
                <w:webHidden/>
              </w:rPr>
              <w:fldChar w:fldCharType="end"/>
            </w:r>
          </w:hyperlink>
        </w:p>
        <w:p w14:paraId="58DD49AA" w14:textId="68BBEE86" w:rsidR="0060741B" w:rsidRDefault="0060741B">
          <w:pPr>
            <w:pStyle w:val="TOC2"/>
            <w:rPr>
              <w:rFonts w:eastAsiaTheme="minorEastAsia" w:cstheme="minorBidi"/>
              <w:szCs w:val="22"/>
              <w:lang w:eastAsia="en-NZ"/>
            </w:rPr>
          </w:pPr>
          <w:hyperlink w:anchor="_Toc495327989" w:history="1">
            <w:r w:rsidRPr="0028703A">
              <w:rPr>
                <w:rStyle w:val="Hyperlink"/>
              </w:rPr>
              <w:t>2.4</w:t>
            </w:r>
            <w:r>
              <w:rPr>
                <w:rFonts w:eastAsiaTheme="minorEastAsia" w:cstheme="minorBidi"/>
                <w:szCs w:val="22"/>
                <w:lang w:eastAsia="en-NZ"/>
              </w:rPr>
              <w:tab/>
            </w:r>
            <w:r w:rsidRPr="0028703A">
              <w:rPr>
                <w:rStyle w:val="Hyperlink"/>
              </w:rPr>
              <w:t>Compliance body required to ensure workably competitive market outcomes eventuate</w:t>
            </w:r>
            <w:r>
              <w:rPr>
                <w:webHidden/>
              </w:rPr>
              <w:tab/>
            </w:r>
            <w:r>
              <w:rPr>
                <w:webHidden/>
              </w:rPr>
              <w:fldChar w:fldCharType="begin"/>
            </w:r>
            <w:r>
              <w:rPr>
                <w:webHidden/>
              </w:rPr>
              <w:instrText xml:space="preserve"> PAGEREF _Toc495327989 \h </w:instrText>
            </w:r>
            <w:r>
              <w:rPr>
                <w:webHidden/>
              </w:rPr>
            </w:r>
            <w:r>
              <w:rPr>
                <w:webHidden/>
              </w:rPr>
              <w:fldChar w:fldCharType="separate"/>
            </w:r>
            <w:r w:rsidR="008008CD">
              <w:rPr>
                <w:webHidden/>
              </w:rPr>
              <w:t>12</w:t>
            </w:r>
            <w:r>
              <w:rPr>
                <w:webHidden/>
              </w:rPr>
              <w:fldChar w:fldCharType="end"/>
            </w:r>
          </w:hyperlink>
        </w:p>
        <w:p w14:paraId="3C5FE9AE" w14:textId="68A8D1B7" w:rsidR="0060741B" w:rsidRDefault="0060741B">
          <w:pPr>
            <w:pStyle w:val="TOC2"/>
            <w:rPr>
              <w:rFonts w:eastAsiaTheme="minorEastAsia" w:cstheme="minorBidi"/>
              <w:szCs w:val="22"/>
              <w:lang w:eastAsia="en-NZ"/>
            </w:rPr>
          </w:pPr>
          <w:hyperlink w:anchor="_Toc495327990" w:history="1">
            <w:r w:rsidRPr="0028703A">
              <w:rPr>
                <w:rStyle w:val="Hyperlink"/>
              </w:rPr>
              <w:t>2.5</w:t>
            </w:r>
            <w:r>
              <w:rPr>
                <w:rFonts w:eastAsiaTheme="minorEastAsia" w:cstheme="minorBidi"/>
                <w:szCs w:val="22"/>
                <w:lang w:eastAsia="en-NZ"/>
              </w:rPr>
              <w:tab/>
            </w:r>
            <w:r w:rsidRPr="0028703A">
              <w:rPr>
                <w:rStyle w:val="Hyperlink"/>
              </w:rPr>
              <w:t>Greater information transparency required to ensure Gas Act and GPS objectives can be achieved</w:t>
            </w:r>
            <w:r>
              <w:rPr>
                <w:webHidden/>
              </w:rPr>
              <w:tab/>
            </w:r>
            <w:r>
              <w:rPr>
                <w:webHidden/>
              </w:rPr>
              <w:fldChar w:fldCharType="begin"/>
            </w:r>
            <w:r>
              <w:rPr>
                <w:webHidden/>
              </w:rPr>
              <w:instrText xml:space="preserve"> PAGEREF _Toc495327990 \h </w:instrText>
            </w:r>
            <w:r>
              <w:rPr>
                <w:webHidden/>
              </w:rPr>
            </w:r>
            <w:r>
              <w:rPr>
                <w:webHidden/>
              </w:rPr>
              <w:fldChar w:fldCharType="separate"/>
            </w:r>
            <w:r w:rsidR="008008CD">
              <w:rPr>
                <w:webHidden/>
              </w:rPr>
              <w:t>15</w:t>
            </w:r>
            <w:r>
              <w:rPr>
                <w:webHidden/>
              </w:rPr>
              <w:fldChar w:fldCharType="end"/>
            </w:r>
          </w:hyperlink>
        </w:p>
        <w:p w14:paraId="469499C4" w14:textId="33F71FEF" w:rsidR="0060741B" w:rsidRDefault="0060741B">
          <w:pPr>
            <w:pStyle w:val="TOC2"/>
            <w:rPr>
              <w:rFonts w:eastAsiaTheme="minorEastAsia" w:cstheme="minorBidi"/>
              <w:szCs w:val="22"/>
              <w:lang w:eastAsia="en-NZ"/>
            </w:rPr>
          </w:pPr>
          <w:hyperlink w:anchor="_Toc495327991" w:history="1">
            <w:r w:rsidRPr="0028703A">
              <w:rPr>
                <w:rStyle w:val="Hyperlink"/>
              </w:rPr>
              <w:t>2.6</w:t>
            </w:r>
            <w:r>
              <w:rPr>
                <w:rFonts w:eastAsiaTheme="minorEastAsia" w:cstheme="minorBidi"/>
                <w:szCs w:val="22"/>
                <w:lang w:eastAsia="en-NZ"/>
              </w:rPr>
              <w:tab/>
            </w:r>
            <w:r w:rsidRPr="0028703A">
              <w:rPr>
                <w:rStyle w:val="Hyperlink"/>
              </w:rPr>
              <w:t>Concerns with significant TSO discretion and principles-based approach to drafting</w:t>
            </w:r>
            <w:r>
              <w:rPr>
                <w:webHidden/>
              </w:rPr>
              <w:tab/>
            </w:r>
            <w:r>
              <w:rPr>
                <w:webHidden/>
              </w:rPr>
              <w:fldChar w:fldCharType="begin"/>
            </w:r>
            <w:r>
              <w:rPr>
                <w:webHidden/>
              </w:rPr>
              <w:instrText xml:space="preserve"> PAGEREF _Toc495327991 \h </w:instrText>
            </w:r>
            <w:r>
              <w:rPr>
                <w:webHidden/>
              </w:rPr>
            </w:r>
            <w:r>
              <w:rPr>
                <w:webHidden/>
              </w:rPr>
              <w:fldChar w:fldCharType="separate"/>
            </w:r>
            <w:r w:rsidR="008008CD">
              <w:rPr>
                <w:webHidden/>
              </w:rPr>
              <w:t>17</w:t>
            </w:r>
            <w:r>
              <w:rPr>
                <w:webHidden/>
              </w:rPr>
              <w:fldChar w:fldCharType="end"/>
            </w:r>
          </w:hyperlink>
        </w:p>
        <w:p w14:paraId="4DDBE113" w14:textId="10FDF258" w:rsidR="0060741B" w:rsidRDefault="0060741B">
          <w:pPr>
            <w:pStyle w:val="TOC2"/>
            <w:rPr>
              <w:rFonts w:eastAsiaTheme="minorEastAsia" w:cstheme="minorBidi"/>
              <w:szCs w:val="22"/>
              <w:lang w:eastAsia="en-NZ"/>
            </w:rPr>
          </w:pPr>
          <w:hyperlink w:anchor="_Toc495327992" w:history="1">
            <w:r w:rsidRPr="0028703A">
              <w:rPr>
                <w:rStyle w:val="Hyperlink"/>
              </w:rPr>
              <w:t>2.7</w:t>
            </w:r>
            <w:r>
              <w:rPr>
                <w:rFonts w:eastAsiaTheme="minorEastAsia" w:cstheme="minorBidi"/>
                <w:szCs w:val="22"/>
                <w:lang w:eastAsia="en-NZ"/>
              </w:rPr>
              <w:tab/>
            </w:r>
            <w:r w:rsidRPr="0028703A">
              <w:rPr>
                <w:rStyle w:val="Hyperlink"/>
              </w:rPr>
              <w:t>Improvements to drafting of the GTAC</w:t>
            </w:r>
            <w:r>
              <w:rPr>
                <w:webHidden/>
              </w:rPr>
              <w:tab/>
            </w:r>
            <w:r>
              <w:rPr>
                <w:webHidden/>
              </w:rPr>
              <w:fldChar w:fldCharType="begin"/>
            </w:r>
            <w:r>
              <w:rPr>
                <w:webHidden/>
              </w:rPr>
              <w:instrText xml:space="preserve"> PAGEREF _Toc495327992 \h </w:instrText>
            </w:r>
            <w:r>
              <w:rPr>
                <w:webHidden/>
              </w:rPr>
            </w:r>
            <w:r>
              <w:rPr>
                <w:webHidden/>
              </w:rPr>
              <w:fldChar w:fldCharType="separate"/>
            </w:r>
            <w:r w:rsidR="008008CD">
              <w:rPr>
                <w:webHidden/>
              </w:rPr>
              <w:t>18</w:t>
            </w:r>
            <w:r>
              <w:rPr>
                <w:webHidden/>
              </w:rPr>
              <w:fldChar w:fldCharType="end"/>
            </w:r>
          </w:hyperlink>
        </w:p>
        <w:p w14:paraId="07566CD3" w14:textId="2CF977F1" w:rsidR="0060741B" w:rsidRDefault="0060741B">
          <w:pPr>
            <w:pStyle w:val="TOC1"/>
            <w:rPr>
              <w:rFonts w:eastAsiaTheme="minorEastAsia" w:cstheme="minorBidi"/>
              <w:b w:val="0"/>
              <w:sz w:val="22"/>
              <w:szCs w:val="22"/>
              <w:lang w:eastAsia="en-NZ"/>
            </w:rPr>
          </w:pPr>
          <w:hyperlink w:anchor="_Toc495327993" w:history="1">
            <w:r w:rsidRPr="0028703A">
              <w:rPr>
                <w:rStyle w:val="Hyperlink"/>
              </w:rPr>
              <w:t>3</w:t>
            </w:r>
            <w:r>
              <w:rPr>
                <w:rFonts w:eastAsiaTheme="minorEastAsia" w:cstheme="minorBidi"/>
                <w:b w:val="0"/>
                <w:sz w:val="22"/>
                <w:szCs w:val="22"/>
                <w:lang w:eastAsia="en-NZ"/>
              </w:rPr>
              <w:tab/>
            </w:r>
            <w:r w:rsidRPr="0028703A">
              <w:rPr>
                <w:rStyle w:val="Hyperlink"/>
              </w:rPr>
              <w:t>Trustpower’s requested changes to the GTA</w:t>
            </w:r>
            <w:r w:rsidRPr="0028703A">
              <w:rPr>
                <w:rStyle w:val="Hyperlink"/>
              </w:rPr>
              <w:t>C</w:t>
            </w:r>
            <w:r w:rsidRPr="0028703A">
              <w:rPr>
                <w:rStyle w:val="Hyperlink"/>
              </w:rPr>
              <w:t xml:space="preserve"> and suggested next steps</w:t>
            </w:r>
            <w:r>
              <w:rPr>
                <w:webHidden/>
              </w:rPr>
              <w:tab/>
            </w:r>
            <w:r>
              <w:rPr>
                <w:webHidden/>
              </w:rPr>
              <w:fldChar w:fldCharType="begin"/>
            </w:r>
            <w:r>
              <w:rPr>
                <w:webHidden/>
              </w:rPr>
              <w:instrText xml:space="preserve"> PAGEREF _Toc495327993 \h </w:instrText>
            </w:r>
            <w:r>
              <w:rPr>
                <w:webHidden/>
              </w:rPr>
            </w:r>
            <w:r>
              <w:rPr>
                <w:webHidden/>
              </w:rPr>
              <w:fldChar w:fldCharType="separate"/>
            </w:r>
            <w:r w:rsidR="008008CD">
              <w:rPr>
                <w:webHidden/>
              </w:rPr>
              <w:t>19</w:t>
            </w:r>
            <w:r>
              <w:rPr>
                <w:webHidden/>
              </w:rPr>
              <w:fldChar w:fldCharType="end"/>
            </w:r>
          </w:hyperlink>
        </w:p>
        <w:p w14:paraId="199982BE" w14:textId="01D0EB7A" w:rsidR="0060741B" w:rsidRDefault="0060741B">
          <w:pPr>
            <w:pStyle w:val="TOC1"/>
            <w:rPr>
              <w:rFonts w:eastAsiaTheme="minorEastAsia" w:cstheme="minorBidi"/>
              <w:b w:val="0"/>
              <w:sz w:val="22"/>
              <w:szCs w:val="22"/>
              <w:lang w:eastAsia="en-NZ"/>
            </w:rPr>
          </w:pPr>
          <w:hyperlink w:anchor="_Toc495327994" w:history="1">
            <w:r w:rsidRPr="0028703A">
              <w:rPr>
                <w:rStyle w:val="Hyperlink"/>
                <w14:scene3d>
                  <w14:camera w14:prst="orthographicFront"/>
                  <w14:lightRig w14:rig="threePt" w14:dir="t">
                    <w14:rot w14:lat="0" w14:lon="0" w14:rev="0"/>
                  </w14:lightRig>
                </w14:scene3d>
              </w:rPr>
              <w:t>Appendix A</w:t>
            </w:r>
            <w:r>
              <w:rPr>
                <w:rFonts w:eastAsiaTheme="minorEastAsia" w:cstheme="minorBidi"/>
                <w:b w:val="0"/>
                <w:sz w:val="22"/>
                <w:szCs w:val="22"/>
                <w:lang w:eastAsia="en-NZ"/>
              </w:rPr>
              <w:tab/>
            </w:r>
            <w:r w:rsidRPr="0028703A">
              <w:rPr>
                <w:rStyle w:val="Hyperlink"/>
              </w:rPr>
              <w:t>The Lantau Group’s Report</w:t>
            </w:r>
            <w:r>
              <w:rPr>
                <w:webHidden/>
              </w:rPr>
              <w:tab/>
            </w:r>
            <w:r>
              <w:rPr>
                <w:webHidden/>
              </w:rPr>
              <w:fldChar w:fldCharType="begin"/>
            </w:r>
            <w:r>
              <w:rPr>
                <w:webHidden/>
              </w:rPr>
              <w:instrText xml:space="preserve"> PAGEREF _Toc495327994 \h </w:instrText>
            </w:r>
            <w:r>
              <w:rPr>
                <w:webHidden/>
              </w:rPr>
            </w:r>
            <w:r>
              <w:rPr>
                <w:webHidden/>
              </w:rPr>
              <w:fldChar w:fldCharType="separate"/>
            </w:r>
            <w:r w:rsidR="008008CD">
              <w:rPr>
                <w:webHidden/>
              </w:rPr>
              <w:t>20</w:t>
            </w:r>
            <w:r>
              <w:rPr>
                <w:webHidden/>
              </w:rPr>
              <w:fldChar w:fldCharType="end"/>
            </w:r>
          </w:hyperlink>
        </w:p>
        <w:p w14:paraId="31396D52" w14:textId="0CBAA6DC" w:rsidR="0060741B" w:rsidRDefault="0060741B">
          <w:pPr>
            <w:pStyle w:val="TOC1"/>
            <w:rPr>
              <w:rFonts w:eastAsiaTheme="minorEastAsia" w:cstheme="minorBidi"/>
              <w:b w:val="0"/>
              <w:sz w:val="22"/>
              <w:szCs w:val="22"/>
              <w:lang w:eastAsia="en-NZ"/>
            </w:rPr>
          </w:pPr>
          <w:hyperlink w:anchor="_Toc495327995" w:history="1">
            <w:r w:rsidRPr="0028703A">
              <w:rPr>
                <w:rStyle w:val="Hyperlink"/>
                <w14:scene3d>
                  <w14:camera w14:prst="orthographicFront"/>
                  <w14:lightRig w14:rig="threePt" w14:dir="t">
                    <w14:rot w14:lat="0" w14:lon="0" w14:rev="0"/>
                  </w14:lightRig>
                </w14:scene3d>
              </w:rPr>
              <w:t>Appendix B</w:t>
            </w:r>
            <w:r>
              <w:rPr>
                <w:rFonts w:eastAsiaTheme="minorEastAsia" w:cstheme="minorBidi"/>
                <w:b w:val="0"/>
                <w:sz w:val="22"/>
                <w:szCs w:val="22"/>
                <w:lang w:eastAsia="en-NZ"/>
              </w:rPr>
              <w:tab/>
            </w:r>
            <w:r w:rsidRPr="0028703A">
              <w:rPr>
                <w:rStyle w:val="Hyperlink"/>
              </w:rPr>
              <w:t xml:space="preserve">Proposed drafting to implement a compliance body– GTAC and </w:t>
            </w:r>
            <w:r w:rsidRPr="0028703A">
              <w:rPr>
                <w:rStyle w:val="Hyperlink"/>
                <w:rFonts w:cs="Arial"/>
                <w:lang w:eastAsia="en-NZ"/>
              </w:rPr>
              <w:t>Gas Governance (Compliance) Regulations 2008</w:t>
            </w:r>
            <w:r>
              <w:rPr>
                <w:webHidden/>
              </w:rPr>
              <w:tab/>
            </w:r>
            <w:r>
              <w:rPr>
                <w:webHidden/>
              </w:rPr>
              <w:fldChar w:fldCharType="begin"/>
            </w:r>
            <w:r>
              <w:rPr>
                <w:webHidden/>
              </w:rPr>
              <w:instrText xml:space="preserve"> PAGEREF _Toc495327995 \h </w:instrText>
            </w:r>
            <w:r>
              <w:rPr>
                <w:webHidden/>
              </w:rPr>
            </w:r>
            <w:r>
              <w:rPr>
                <w:webHidden/>
              </w:rPr>
              <w:fldChar w:fldCharType="separate"/>
            </w:r>
            <w:r w:rsidR="008008CD">
              <w:rPr>
                <w:webHidden/>
              </w:rPr>
              <w:t>21</w:t>
            </w:r>
            <w:r>
              <w:rPr>
                <w:webHidden/>
              </w:rPr>
              <w:fldChar w:fldCharType="end"/>
            </w:r>
          </w:hyperlink>
        </w:p>
        <w:p w14:paraId="0323A268" w14:textId="65D97F1D" w:rsidR="0060741B" w:rsidRDefault="0060741B">
          <w:pPr>
            <w:pStyle w:val="TOC1"/>
            <w:rPr>
              <w:rFonts w:eastAsiaTheme="minorEastAsia" w:cstheme="minorBidi"/>
              <w:b w:val="0"/>
              <w:sz w:val="22"/>
              <w:szCs w:val="22"/>
              <w:lang w:eastAsia="en-NZ"/>
            </w:rPr>
          </w:pPr>
          <w:hyperlink w:anchor="_Toc495327996" w:history="1">
            <w:r w:rsidRPr="0028703A">
              <w:rPr>
                <w:rStyle w:val="Hyperlink"/>
                <w14:scene3d>
                  <w14:camera w14:prst="orthographicFront"/>
                  <w14:lightRig w14:rig="threePt" w14:dir="t">
                    <w14:rot w14:lat="0" w14:lon="0" w14:rev="0"/>
                  </w14:lightRig>
                </w14:scene3d>
              </w:rPr>
              <w:t>Appendix C</w:t>
            </w:r>
            <w:r>
              <w:rPr>
                <w:rFonts w:eastAsiaTheme="minorEastAsia" w:cstheme="minorBidi"/>
                <w:b w:val="0"/>
                <w:sz w:val="22"/>
                <w:szCs w:val="22"/>
                <w:lang w:eastAsia="en-NZ"/>
              </w:rPr>
              <w:tab/>
            </w:r>
            <w:r w:rsidRPr="0028703A">
              <w:rPr>
                <w:rStyle w:val="Hyperlink"/>
              </w:rPr>
              <w:t>Trustpower requested changes to the GTAC</w:t>
            </w:r>
            <w:r>
              <w:rPr>
                <w:webHidden/>
              </w:rPr>
              <w:tab/>
            </w:r>
            <w:r>
              <w:rPr>
                <w:webHidden/>
              </w:rPr>
              <w:fldChar w:fldCharType="begin"/>
            </w:r>
            <w:r>
              <w:rPr>
                <w:webHidden/>
              </w:rPr>
              <w:instrText xml:space="preserve"> PAGEREF _Toc495327996 \h </w:instrText>
            </w:r>
            <w:r>
              <w:rPr>
                <w:webHidden/>
              </w:rPr>
            </w:r>
            <w:r>
              <w:rPr>
                <w:webHidden/>
              </w:rPr>
              <w:fldChar w:fldCharType="separate"/>
            </w:r>
            <w:r w:rsidR="008008CD">
              <w:rPr>
                <w:webHidden/>
              </w:rPr>
              <w:t>24</w:t>
            </w:r>
            <w:r>
              <w:rPr>
                <w:webHidden/>
              </w:rPr>
              <w:fldChar w:fldCharType="end"/>
            </w:r>
          </w:hyperlink>
        </w:p>
        <w:p w14:paraId="1E719D88" w14:textId="0B28799D" w:rsidR="00E97DF8" w:rsidRDefault="00147652">
          <w:r>
            <w:fldChar w:fldCharType="end"/>
          </w:r>
        </w:p>
      </w:sdtContent>
    </w:sdt>
    <w:p w14:paraId="07B539FC" w14:textId="77777777" w:rsidR="00EA1F48" w:rsidRDefault="00EA1F48" w:rsidP="007050E5">
      <w:pPr>
        <w:pStyle w:val="BodyText-NotIndented"/>
      </w:pPr>
    </w:p>
    <w:p w14:paraId="4E7E2847" w14:textId="77777777" w:rsidR="00953035" w:rsidRDefault="00953035" w:rsidP="00EA1F48">
      <w:pPr>
        <w:pStyle w:val="BodyText-NotIndented"/>
        <w:sectPr w:rsidR="00953035" w:rsidSect="008C334F">
          <w:footerReference w:type="default" r:id="rId12"/>
          <w:pgSz w:w="11907" w:h="16840" w:code="9"/>
          <w:pgMar w:top="1440" w:right="1134" w:bottom="1440" w:left="1418" w:header="709" w:footer="709" w:gutter="0"/>
          <w:pgNumType w:fmt="lowerRoman" w:start="1"/>
          <w:cols w:space="708"/>
          <w:docGrid w:linePitch="272"/>
        </w:sectPr>
      </w:pPr>
    </w:p>
    <w:p w14:paraId="58DBFA51" w14:textId="002A709D" w:rsidR="00EB27A8" w:rsidRPr="00F50BF3" w:rsidRDefault="0008664D" w:rsidP="007050E5">
      <w:pPr>
        <w:pStyle w:val="Numberedheading"/>
      </w:pPr>
      <w:bookmarkStart w:id="4" w:name="_Toc434436920"/>
      <w:bookmarkStart w:id="5" w:name="_Toc434437236"/>
      <w:bookmarkStart w:id="6" w:name="_Toc495327982"/>
      <w:bookmarkEnd w:id="2"/>
      <w:bookmarkEnd w:id="3"/>
      <w:bookmarkEnd w:id="4"/>
      <w:bookmarkEnd w:id="5"/>
      <w:r>
        <w:lastRenderedPageBreak/>
        <w:t>Introduction and Background</w:t>
      </w:r>
      <w:bookmarkEnd w:id="6"/>
    </w:p>
    <w:p w14:paraId="0A1EDD0E" w14:textId="744CD730" w:rsidR="00953035" w:rsidRDefault="00953035" w:rsidP="007050E5">
      <w:pPr>
        <w:pStyle w:val="Numberedsubheading"/>
      </w:pPr>
      <w:bookmarkStart w:id="7" w:name="_Toc495327983"/>
      <w:r>
        <w:t>Introduction</w:t>
      </w:r>
      <w:bookmarkEnd w:id="7"/>
      <w:r w:rsidR="00FC389B">
        <w:t xml:space="preserve"> </w:t>
      </w:r>
    </w:p>
    <w:p w14:paraId="5D131D94" w14:textId="0D64ED43" w:rsidR="005C206A" w:rsidRDefault="001B696E" w:rsidP="00D94BB5">
      <w:pPr>
        <w:pStyle w:val="Heading3"/>
      </w:pPr>
      <w:r w:rsidRPr="001B696E">
        <w:t xml:space="preserve">Trustpower Limited </w:t>
      </w:r>
      <w:r>
        <w:t>(</w:t>
      </w:r>
      <w:r w:rsidRPr="002A1DE8">
        <w:rPr>
          <w:b/>
        </w:rPr>
        <w:t>Trustpower</w:t>
      </w:r>
      <w:r>
        <w:t xml:space="preserve">) </w:t>
      </w:r>
      <w:r w:rsidRPr="001B696E">
        <w:t>welcomes the opp</w:t>
      </w:r>
      <w:r w:rsidR="00F65762">
        <w:t>ortunity to provide a response</w:t>
      </w:r>
      <w:r w:rsidRPr="001B696E">
        <w:t xml:space="preserve"> to </w:t>
      </w:r>
      <w:r w:rsidR="002B0429">
        <w:t>First Gas</w:t>
      </w:r>
      <w:r>
        <w:t xml:space="preserve"> </w:t>
      </w:r>
      <w:r w:rsidRPr="001B696E">
        <w:t xml:space="preserve">on its </w:t>
      </w:r>
      <w:r w:rsidR="002B0429">
        <w:rPr>
          <w:i/>
        </w:rPr>
        <w:t xml:space="preserve">Revised Draft Gas Transmission Access </w:t>
      </w:r>
      <w:r w:rsidR="00AF7770">
        <w:rPr>
          <w:i/>
        </w:rPr>
        <w:t xml:space="preserve">Code </w:t>
      </w:r>
      <w:r w:rsidR="00AE1FE4">
        <w:t>(</w:t>
      </w:r>
      <w:r w:rsidR="00AE1FE4" w:rsidRPr="002A1DE8">
        <w:rPr>
          <w:b/>
        </w:rPr>
        <w:t xml:space="preserve">the </w:t>
      </w:r>
      <w:r w:rsidR="00AF7770">
        <w:rPr>
          <w:b/>
        </w:rPr>
        <w:t>GTAC</w:t>
      </w:r>
      <w:r w:rsidR="00AE1FE4">
        <w:t>)</w:t>
      </w:r>
      <w:r w:rsidR="005C206A" w:rsidRPr="005C206A">
        <w:t xml:space="preserve">. </w:t>
      </w:r>
      <w:r w:rsidR="00F65762">
        <w:t xml:space="preserve">We note that this constitutes just part of the ongoing negotiation between First Gas and other parties with respect to the development of the new </w:t>
      </w:r>
      <w:r w:rsidR="00AF7770">
        <w:t>GTAC</w:t>
      </w:r>
      <w:r w:rsidR="00F65762">
        <w:t xml:space="preserve">. </w:t>
      </w:r>
    </w:p>
    <w:p w14:paraId="5C25EA03" w14:textId="18DC0B5A" w:rsidR="00C75576" w:rsidRDefault="00C75576" w:rsidP="00C75576">
      <w:pPr>
        <w:pStyle w:val="Numberedparagraph"/>
        <w:rPr>
          <w:b w:val="0"/>
        </w:rPr>
      </w:pPr>
      <w:r>
        <w:rPr>
          <w:b w:val="0"/>
        </w:rPr>
        <w:t xml:space="preserve">This document captures Trustpower’s requested changes to the proposed GTAC at this stage in the negotiation process. We note that the next round of </w:t>
      </w:r>
      <w:r w:rsidR="007C35D4">
        <w:rPr>
          <w:b w:val="0"/>
        </w:rPr>
        <w:t>negotiation</w:t>
      </w:r>
      <w:r>
        <w:rPr>
          <w:b w:val="0"/>
        </w:rPr>
        <w:t xml:space="preserve"> is intended to enable a legal review of the GTAC and </w:t>
      </w:r>
      <w:r w:rsidR="00FD2EE4">
        <w:rPr>
          <w:b w:val="0"/>
        </w:rPr>
        <w:t>we have, as a result,</w:t>
      </w:r>
      <w:r>
        <w:rPr>
          <w:b w:val="0"/>
        </w:rPr>
        <w:t xml:space="preserve"> largely restricted our requests to more commercial matters, including the actual design of the proposed arrangements and ensuring competitive outcomes eventuate. While marked-up changes to the GTAC have been suggested in Appendix </w:t>
      </w:r>
      <w:r w:rsidR="00552F95">
        <w:rPr>
          <w:b w:val="0"/>
        </w:rPr>
        <w:t>C</w:t>
      </w:r>
      <w:r>
        <w:rPr>
          <w:b w:val="0"/>
        </w:rPr>
        <w:t xml:space="preserve">, these are preliminary and provided for illustrative reasons. We maintain the right to request further amendments to the GTAC following a comprehensive legal review. </w:t>
      </w:r>
    </w:p>
    <w:p w14:paraId="77482850" w14:textId="73EED2B1" w:rsidR="002B0429" w:rsidRDefault="002B0429" w:rsidP="00B925DC">
      <w:pPr>
        <w:pStyle w:val="Numberedparagraph"/>
        <w:rPr>
          <w:b w:val="0"/>
        </w:rPr>
      </w:pPr>
      <w:r w:rsidRPr="00FC389B">
        <w:rPr>
          <w:b w:val="0"/>
        </w:rPr>
        <w:t xml:space="preserve">Trustpower entered the gas market in 2013. We have successfully grown our customer base to around 30,000 </w:t>
      </w:r>
      <w:r w:rsidR="00353695">
        <w:rPr>
          <w:b w:val="0"/>
        </w:rPr>
        <w:t xml:space="preserve">gas </w:t>
      </w:r>
      <w:r w:rsidRPr="00FC389B">
        <w:rPr>
          <w:b w:val="0"/>
        </w:rPr>
        <w:t>customers. We are a multi-product retailer, participating in the electricity, gas and telecommunications industr</w:t>
      </w:r>
      <w:r w:rsidR="00353695">
        <w:rPr>
          <w:b w:val="0"/>
        </w:rPr>
        <w:t>ies</w:t>
      </w:r>
      <w:r w:rsidRPr="00FC389B">
        <w:rPr>
          <w:b w:val="0"/>
        </w:rPr>
        <w:t xml:space="preserve"> in New Zealand, and have </w:t>
      </w:r>
      <w:r w:rsidR="00353695">
        <w:rPr>
          <w:b w:val="0"/>
        </w:rPr>
        <w:t xml:space="preserve">electricity </w:t>
      </w:r>
      <w:r w:rsidRPr="00FC389B">
        <w:rPr>
          <w:b w:val="0"/>
        </w:rPr>
        <w:t>generation assets in both New Zealand and Australia. As a result we have extensive experience operating under a number of different market arrangements and a broad understanding of what is required to ensure an open</w:t>
      </w:r>
      <w:r w:rsidR="00EA0D76">
        <w:rPr>
          <w:b w:val="0"/>
        </w:rPr>
        <w:t xml:space="preserve"> and</w:t>
      </w:r>
      <w:r w:rsidRPr="00FC389B">
        <w:rPr>
          <w:b w:val="0"/>
        </w:rPr>
        <w:t xml:space="preserve"> competitive gas market </w:t>
      </w:r>
      <w:r w:rsidR="00EA0D76">
        <w:rPr>
          <w:b w:val="0"/>
        </w:rPr>
        <w:t xml:space="preserve">can </w:t>
      </w:r>
      <w:r w:rsidR="00353695">
        <w:rPr>
          <w:b w:val="0"/>
        </w:rPr>
        <w:t xml:space="preserve">be </w:t>
      </w:r>
      <w:r w:rsidR="00EA0D76">
        <w:rPr>
          <w:b w:val="0"/>
        </w:rPr>
        <w:t>establish</w:t>
      </w:r>
      <w:r w:rsidR="00353695">
        <w:rPr>
          <w:b w:val="0"/>
        </w:rPr>
        <w:t>ed</w:t>
      </w:r>
      <w:r w:rsidRPr="00FC389B">
        <w:rPr>
          <w:b w:val="0"/>
        </w:rPr>
        <w:t xml:space="preserve"> in New Zealand.</w:t>
      </w:r>
    </w:p>
    <w:p w14:paraId="09CFDDD2" w14:textId="4B776404" w:rsidR="005C206A" w:rsidRPr="005C206A" w:rsidRDefault="0008664D" w:rsidP="00FA324F">
      <w:pPr>
        <w:pStyle w:val="Numberedsubheading"/>
      </w:pPr>
      <w:bookmarkStart w:id="8" w:name="_Toc495327984"/>
      <w:r>
        <w:t>Background</w:t>
      </w:r>
      <w:bookmarkEnd w:id="8"/>
    </w:p>
    <w:p w14:paraId="7A0179BB" w14:textId="2C15C8B6" w:rsidR="0062189B" w:rsidRPr="003F5E32" w:rsidRDefault="0062189B" w:rsidP="0062189B">
      <w:pPr>
        <w:pStyle w:val="Numberedparagraph"/>
        <w:rPr>
          <w:b w:val="0"/>
        </w:rPr>
      </w:pPr>
      <w:bookmarkStart w:id="9" w:name="_Toc434437240"/>
      <w:bookmarkStart w:id="10" w:name="_Toc434488630"/>
      <w:bookmarkStart w:id="11" w:name="_Toc434488855"/>
      <w:bookmarkStart w:id="12" w:name="_Toc434488929"/>
      <w:bookmarkStart w:id="13" w:name="_Toc434489256"/>
      <w:bookmarkStart w:id="14" w:name="_Toc434489353"/>
      <w:bookmarkStart w:id="15" w:name="_Toc434489426"/>
      <w:bookmarkStart w:id="16" w:name="_Toc434504133"/>
      <w:bookmarkStart w:id="17" w:name="_Toc434504520"/>
      <w:bookmarkStart w:id="18" w:name="_Toc434504557"/>
      <w:bookmarkStart w:id="19" w:name="_Toc434504662"/>
      <w:bookmarkStart w:id="20" w:name="_Toc434437241"/>
      <w:bookmarkStart w:id="21" w:name="_Toc434488631"/>
      <w:bookmarkStart w:id="22" w:name="_Toc434488856"/>
      <w:bookmarkStart w:id="23" w:name="_Toc434488930"/>
      <w:bookmarkStart w:id="24" w:name="_Toc434489257"/>
      <w:bookmarkStart w:id="25" w:name="_Toc434489354"/>
      <w:bookmarkStart w:id="26" w:name="_Toc434489427"/>
      <w:bookmarkStart w:id="27" w:name="_Toc434504134"/>
      <w:bookmarkStart w:id="28" w:name="_Toc434504521"/>
      <w:bookmarkStart w:id="29" w:name="_Toc434504558"/>
      <w:bookmarkStart w:id="30" w:name="_Toc434504663"/>
      <w:bookmarkStart w:id="31" w:name="_Toc433703231"/>
      <w:bookmarkStart w:id="32" w:name="_Toc43443543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3F5E32">
        <w:rPr>
          <w:b w:val="0"/>
        </w:rPr>
        <w:t>In 2016 First Gas bec</w:t>
      </w:r>
      <w:r w:rsidR="00353695">
        <w:rPr>
          <w:b w:val="0"/>
        </w:rPr>
        <w:t>a</w:t>
      </w:r>
      <w:r w:rsidRPr="003F5E32">
        <w:rPr>
          <w:b w:val="0"/>
        </w:rPr>
        <w:t xml:space="preserve">me the new transmission system owner of both the Maui and Vector pipelines. To bring transmission access under one arrangement, First Gas has been working with industry over the last 18 months to develop a single new transmission </w:t>
      </w:r>
      <w:r w:rsidR="00AF7770">
        <w:rPr>
          <w:b w:val="0"/>
        </w:rPr>
        <w:t>code (the GTAC)</w:t>
      </w:r>
      <w:r w:rsidRPr="003F5E32">
        <w:rPr>
          <w:b w:val="0"/>
        </w:rPr>
        <w:t xml:space="preserve"> that provides an end-to-end service.   </w:t>
      </w:r>
    </w:p>
    <w:p w14:paraId="25A7E70F" w14:textId="080ABE14" w:rsidR="0062189B" w:rsidRPr="003F5E32" w:rsidRDefault="0062189B" w:rsidP="0062189B">
      <w:pPr>
        <w:pStyle w:val="Numberedparagraph"/>
        <w:rPr>
          <w:b w:val="0"/>
        </w:rPr>
      </w:pPr>
      <w:r w:rsidRPr="003F5E32">
        <w:rPr>
          <w:b w:val="0"/>
        </w:rPr>
        <w:t xml:space="preserve">Trustpower has been actively involved in the design </w:t>
      </w:r>
      <w:r w:rsidR="00AF7770">
        <w:rPr>
          <w:b w:val="0"/>
        </w:rPr>
        <w:t>of the arrangements for the GTAC</w:t>
      </w:r>
      <w:r w:rsidRPr="003F5E32">
        <w:rPr>
          <w:b w:val="0"/>
        </w:rPr>
        <w:t xml:space="preserve"> during this per</w:t>
      </w:r>
      <w:r w:rsidR="00F65762">
        <w:rPr>
          <w:b w:val="0"/>
        </w:rPr>
        <w:t>iod, through written submissions</w:t>
      </w:r>
      <w:r w:rsidRPr="003F5E32">
        <w:rPr>
          <w:b w:val="0"/>
        </w:rPr>
        <w:t xml:space="preserve">, one on one meetings with First Gas and attendance of industry workshops. </w:t>
      </w:r>
      <w:r>
        <w:rPr>
          <w:b w:val="0"/>
        </w:rPr>
        <w:t xml:space="preserve">We wish to thank First Gas for enabling ongoing dialogue around the design of the new </w:t>
      </w:r>
      <w:r w:rsidR="00AF7770">
        <w:rPr>
          <w:b w:val="0"/>
        </w:rPr>
        <w:t>GTAC</w:t>
      </w:r>
      <w:r>
        <w:rPr>
          <w:b w:val="0"/>
        </w:rPr>
        <w:t xml:space="preserve"> and being receptive to the requests received to date around the need for extra time to consider issues. </w:t>
      </w:r>
    </w:p>
    <w:p w14:paraId="49612635" w14:textId="77777777" w:rsidR="006B740E" w:rsidRDefault="006B740E">
      <w:pPr>
        <w:jc w:val="left"/>
        <w:rPr>
          <w:rFonts w:ascii="Calibri" w:eastAsia="Times New Roman" w:hAnsi="Calibri"/>
          <w:b/>
          <w:color w:val="7F1399"/>
          <w:sz w:val="28"/>
          <w:szCs w:val="28"/>
          <w:lang w:eastAsia="en-GB"/>
        </w:rPr>
      </w:pPr>
      <w:r>
        <w:br w:type="page"/>
      </w:r>
    </w:p>
    <w:p w14:paraId="215DCB31" w14:textId="4158EB4B" w:rsidR="00EB27A8" w:rsidRDefault="00FC389B" w:rsidP="00FA324F">
      <w:pPr>
        <w:pStyle w:val="Numberedheading"/>
      </w:pPr>
      <w:bookmarkStart w:id="33" w:name="_Toc495327985"/>
      <w:bookmarkEnd w:id="31"/>
      <w:bookmarkEnd w:id="32"/>
      <w:r>
        <w:lastRenderedPageBreak/>
        <w:t>Trustpower’s views</w:t>
      </w:r>
      <w:bookmarkEnd w:id="33"/>
    </w:p>
    <w:p w14:paraId="0B477C62" w14:textId="08EF3B68" w:rsidR="00E0639D" w:rsidRPr="00D22F20" w:rsidRDefault="00BE368A" w:rsidP="00E0639D">
      <w:pPr>
        <w:pStyle w:val="Numberedsubheading"/>
      </w:pPr>
      <w:bookmarkStart w:id="34" w:name="_Toc495327986"/>
      <w:r>
        <w:t>Executive Summary</w:t>
      </w:r>
      <w:bookmarkEnd w:id="34"/>
      <w:r>
        <w:t xml:space="preserve"> </w:t>
      </w:r>
    </w:p>
    <w:p w14:paraId="57CF183D" w14:textId="5F78FDB7" w:rsidR="00FC389B" w:rsidRPr="00BE368A" w:rsidRDefault="00FC389B" w:rsidP="00BE368A">
      <w:pPr>
        <w:pStyle w:val="Numberedparagraph"/>
        <w:rPr>
          <w:b w:val="0"/>
        </w:rPr>
      </w:pPr>
      <w:r w:rsidRPr="00BE368A">
        <w:rPr>
          <w:b w:val="0"/>
        </w:rPr>
        <w:t xml:space="preserve">We continue to consider that the proposed </w:t>
      </w:r>
      <w:r w:rsidR="00AF7770">
        <w:rPr>
          <w:b w:val="0"/>
        </w:rPr>
        <w:t>GTAC</w:t>
      </w:r>
      <w:r w:rsidRPr="00BE368A">
        <w:rPr>
          <w:b w:val="0"/>
        </w:rPr>
        <w:t xml:space="preserve">, as a whole, would not represent an improvement on the current arrangements outlined in the Maui Pipeline Operating </w:t>
      </w:r>
      <w:r w:rsidR="00AF7770">
        <w:rPr>
          <w:b w:val="0"/>
        </w:rPr>
        <w:t>Code</w:t>
      </w:r>
      <w:r w:rsidRPr="00BE368A">
        <w:rPr>
          <w:b w:val="0"/>
        </w:rPr>
        <w:t xml:space="preserve"> (</w:t>
      </w:r>
      <w:r w:rsidRPr="002A1DE8">
        <w:t>MPOC</w:t>
      </w:r>
      <w:r w:rsidRPr="00BE368A">
        <w:rPr>
          <w:b w:val="0"/>
        </w:rPr>
        <w:t xml:space="preserve">) and Vector Transmission </w:t>
      </w:r>
      <w:r w:rsidR="00AF7770">
        <w:rPr>
          <w:b w:val="0"/>
        </w:rPr>
        <w:t>Code</w:t>
      </w:r>
      <w:r w:rsidRPr="00BE368A">
        <w:rPr>
          <w:b w:val="0"/>
        </w:rPr>
        <w:t xml:space="preserve"> (</w:t>
      </w:r>
      <w:r w:rsidRPr="002A1DE8">
        <w:t>VTC</w:t>
      </w:r>
      <w:r w:rsidRPr="00BE368A">
        <w:rPr>
          <w:b w:val="0"/>
        </w:rPr>
        <w:t>).</w:t>
      </w:r>
    </w:p>
    <w:p w14:paraId="3EE1B6E6" w14:textId="0742D48A" w:rsidR="00FC389B" w:rsidRPr="00BE368A" w:rsidRDefault="00FC389B" w:rsidP="00BE368A">
      <w:pPr>
        <w:pStyle w:val="Numberedparagraph"/>
        <w:rPr>
          <w:b w:val="0"/>
        </w:rPr>
      </w:pPr>
      <w:r w:rsidRPr="00BE368A">
        <w:rPr>
          <w:b w:val="0"/>
        </w:rPr>
        <w:t xml:space="preserve">While having a single transmission </w:t>
      </w:r>
      <w:r w:rsidR="00AF7770">
        <w:rPr>
          <w:b w:val="0"/>
        </w:rPr>
        <w:t xml:space="preserve">code </w:t>
      </w:r>
      <w:r w:rsidRPr="00BE368A">
        <w:rPr>
          <w:b w:val="0"/>
        </w:rPr>
        <w:t xml:space="preserve">would be valuable, we </w:t>
      </w:r>
      <w:r w:rsidR="00FC709E" w:rsidRPr="00BE368A">
        <w:rPr>
          <w:b w:val="0"/>
        </w:rPr>
        <w:t>consider that,</w:t>
      </w:r>
      <w:r w:rsidRPr="00BE368A">
        <w:rPr>
          <w:b w:val="0"/>
        </w:rPr>
        <w:t xml:space="preserve"> when compa</w:t>
      </w:r>
      <w:r w:rsidR="00FC709E" w:rsidRPr="00BE368A">
        <w:rPr>
          <w:b w:val="0"/>
        </w:rPr>
        <w:t>red to the current arrangements,</w:t>
      </w:r>
      <w:r w:rsidRPr="00BE368A">
        <w:rPr>
          <w:b w:val="0"/>
        </w:rPr>
        <w:t xml:space="preserve"> the proposed new arrangements would:</w:t>
      </w:r>
    </w:p>
    <w:p w14:paraId="4DB76990" w14:textId="77777777" w:rsidR="00FC389B" w:rsidRPr="00BE368A" w:rsidRDefault="00FC389B" w:rsidP="00BE368A">
      <w:pPr>
        <w:pStyle w:val="Numberedsubparagraph"/>
      </w:pPr>
      <w:r w:rsidRPr="00BE368A">
        <w:t>Create a potential barrier to accessing gas transport which could act to reduce overall competition in the downstream gas market;</w:t>
      </w:r>
    </w:p>
    <w:p w14:paraId="10598C1D" w14:textId="7D4CCE2E" w:rsidR="00FC389B" w:rsidRPr="00BE368A" w:rsidRDefault="00FC389B" w:rsidP="00BE368A">
      <w:pPr>
        <w:pStyle w:val="Numberedsubparagraph"/>
      </w:pPr>
      <w:r w:rsidRPr="00BE368A">
        <w:t xml:space="preserve">Assign risks associated with pipeline congestion to parties who </w:t>
      </w:r>
      <w:r w:rsidR="00F65762">
        <w:t>are not best able to manage those</w:t>
      </w:r>
      <w:r w:rsidRPr="00BE368A">
        <w:t xml:space="preserve"> risk</w:t>
      </w:r>
      <w:r w:rsidR="00F65762">
        <w:t>s</w:t>
      </w:r>
      <w:r w:rsidRPr="00BE368A">
        <w:t>; and</w:t>
      </w:r>
    </w:p>
    <w:p w14:paraId="5660DCFF" w14:textId="185F6BF6" w:rsidR="00FC389B" w:rsidRPr="00BE368A" w:rsidRDefault="00C371DB" w:rsidP="00BE368A">
      <w:pPr>
        <w:pStyle w:val="Numberedsubparagraph"/>
      </w:pPr>
      <w:r>
        <w:t>Result in a number of wealth transfers (not all of which are evident at this stage) which will most likely result in costs to</w:t>
      </w:r>
      <w:r w:rsidR="00FC389B" w:rsidRPr="00BE368A">
        <w:t xml:space="preserve"> </w:t>
      </w:r>
      <w:r w:rsidR="00F56FC8">
        <w:t>some E</w:t>
      </w:r>
      <w:r w:rsidR="00FC389B" w:rsidRPr="00BE368A">
        <w:t>nd users.</w:t>
      </w:r>
    </w:p>
    <w:p w14:paraId="4DE833F7" w14:textId="0B11AD13" w:rsidR="00FC709E" w:rsidRPr="00BE368A" w:rsidRDefault="00E45855" w:rsidP="00BE368A">
      <w:pPr>
        <w:pStyle w:val="Numberedparagraph"/>
        <w:rPr>
          <w:b w:val="0"/>
        </w:rPr>
      </w:pPr>
      <w:r w:rsidRPr="00BE368A">
        <w:rPr>
          <w:b w:val="0"/>
        </w:rPr>
        <w:t xml:space="preserve">This is because a number of fundamental design flaws still remain within the proposed design for access products </w:t>
      </w:r>
      <w:r w:rsidR="00F02CAF" w:rsidRPr="00BE368A">
        <w:rPr>
          <w:b w:val="0"/>
        </w:rPr>
        <w:t xml:space="preserve">which will have </w:t>
      </w:r>
      <w:r w:rsidR="00FC709E" w:rsidRPr="00BE368A">
        <w:rPr>
          <w:b w:val="0"/>
        </w:rPr>
        <w:t xml:space="preserve">significant implications </w:t>
      </w:r>
      <w:r w:rsidR="00F02CAF" w:rsidRPr="00BE368A">
        <w:rPr>
          <w:b w:val="0"/>
        </w:rPr>
        <w:t>for the</w:t>
      </w:r>
      <w:r w:rsidR="00FC709E" w:rsidRPr="00BE368A">
        <w:rPr>
          <w:b w:val="0"/>
        </w:rPr>
        <w:t xml:space="preserve"> consistency of the new </w:t>
      </w:r>
      <w:r w:rsidR="00AF7770">
        <w:rPr>
          <w:b w:val="0"/>
        </w:rPr>
        <w:t>GTAC</w:t>
      </w:r>
      <w:r w:rsidR="00FC709E" w:rsidRPr="00BE368A">
        <w:rPr>
          <w:b w:val="0"/>
        </w:rPr>
        <w:t xml:space="preserve"> with the Gas Act and </w:t>
      </w:r>
      <w:r w:rsidR="00EA0D76" w:rsidRPr="00BE368A">
        <w:rPr>
          <w:b w:val="0"/>
        </w:rPr>
        <w:t xml:space="preserve">Government Policy Statement </w:t>
      </w:r>
      <w:r w:rsidR="00EA0D76">
        <w:rPr>
          <w:b w:val="0"/>
        </w:rPr>
        <w:t>(</w:t>
      </w:r>
      <w:r w:rsidR="00FC709E" w:rsidRPr="00C75576">
        <w:t>GPS</w:t>
      </w:r>
      <w:r w:rsidR="00EA0D76">
        <w:rPr>
          <w:b w:val="0"/>
        </w:rPr>
        <w:t>)</w:t>
      </w:r>
      <w:r w:rsidR="00FC709E" w:rsidRPr="00BE368A">
        <w:rPr>
          <w:b w:val="0"/>
        </w:rPr>
        <w:t xml:space="preserve"> objectives.</w:t>
      </w:r>
    </w:p>
    <w:p w14:paraId="4FEB115A" w14:textId="387822E3" w:rsidR="008A37D0" w:rsidRPr="008A37D0" w:rsidRDefault="008A37D0" w:rsidP="008A37D0">
      <w:pPr>
        <w:pStyle w:val="Numberedparagraph"/>
        <w:numPr>
          <w:ilvl w:val="0"/>
          <w:numId w:val="0"/>
        </w:numPr>
        <w:spacing w:before="240" w:after="240"/>
        <w:ind w:left="709" w:hanging="709"/>
        <w:rPr>
          <w:i/>
        </w:rPr>
      </w:pPr>
      <w:r w:rsidRPr="008A37D0">
        <w:rPr>
          <w:i/>
        </w:rPr>
        <w:t xml:space="preserve">New </w:t>
      </w:r>
      <w:r w:rsidR="00AF7770">
        <w:rPr>
          <w:i/>
        </w:rPr>
        <w:t>GTAC</w:t>
      </w:r>
      <w:r w:rsidRPr="008A37D0">
        <w:rPr>
          <w:i/>
        </w:rPr>
        <w:t xml:space="preserve"> not consistent with Gas Act and GPS objectives or regulatory objective of the </w:t>
      </w:r>
      <w:r w:rsidR="00AF7770">
        <w:rPr>
          <w:i/>
        </w:rPr>
        <w:t>GTAC</w:t>
      </w:r>
    </w:p>
    <w:p w14:paraId="30174214" w14:textId="3EADAD00" w:rsidR="008A37D0" w:rsidRPr="00BE368A" w:rsidRDefault="008A37D0" w:rsidP="00BE368A">
      <w:pPr>
        <w:pStyle w:val="Numberedparagraph"/>
        <w:rPr>
          <w:b w:val="0"/>
        </w:rPr>
      </w:pPr>
      <w:r w:rsidRPr="00BE368A">
        <w:rPr>
          <w:b w:val="0"/>
        </w:rPr>
        <w:t xml:space="preserve">We consider that it will not be possible for the </w:t>
      </w:r>
      <w:r w:rsidR="002A1DE8">
        <w:rPr>
          <w:b w:val="0"/>
        </w:rPr>
        <w:t>Gas Industry Company (</w:t>
      </w:r>
      <w:r w:rsidRPr="002A1DE8">
        <w:t>GIC</w:t>
      </w:r>
      <w:r w:rsidR="002A1DE8">
        <w:rPr>
          <w:b w:val="0"/>
        </w:rPr>
        <w:t>)</w:t>
      </w:r>
      <w:r w:rsidRPr="00BE368A">
        <w:rPr>
          <w:b w:val="0"/>
        </w:rPr>
        <w:t xml:space="preserve"> to confirm that the proposed new arrangements (in their current state) would, as a whole, be consistent with the Gas Act and </w:t>
      </w:r>
      <w:r w:rsidRPr="00C75576">
        <w:rPr>
          <w:b w:val="0"/>
        </w:rPr>
        <w:t>GPS</w:t>
      </w:r>
      <w:r w:rsidRPr="00BE368A">
        <w:rPr>
          <w:b w:val="0"/>
        </w:rPr>
        <w:t xml:space="preserve"> objectives. This is because</w:t>
      </w:r>
      <w:r w:rsidR="00353695">
        <w:rPr>
          <w:b w:val="0"/>
        </w:rPr>
        <w:t>,</w:t>
      </w:r>
      <w:r w:rsidRPr="00BE368A">
        <w:rPr>
          <w:b w:val="0"/>
        </w:rPr>
        <w:t xml:space="preserve"> in our view</w:t>
      </w:r>
      <w:r w:rsidR="00353695">
        <w:rPr>
          <w:b w:val="0"/>
        </w:rPr>
        <w:t>,</w:t>
      </w:r>
      <w:r w:rsidRPr="00BE368A">
        <w:rPr>
          <w:b w:val="0"/>
        </w:rPr>
        <w:t xml:space="preserve"> the new arrangements would, as a whole, be inconsistent with the following objectives outlined in the Gas Act:</w:t>
      </w:r>
    </w:p>
    <w:p w14:paraId="074EBCA1" w14:textId="50F6AE62" w:rsidR="008A37D0" w:rsidRPr="00BE368A" w:rsidRDefault="008A37D0" w:rsidP="00361614">
      <w:pPr>
        <w:pStyle w:val="Numberedsubparagraph"/>
        <w:numPr>
          <w:ilvl w:val="0"/>
          <w:numId w:val="23"/>
        </w:numPr>
      </w:pPr>
      <w:r w:rsidRPr="00BE368A">
        <w:t>The facilitation and promotion of the ongoing supply of gas meets New Zealand’s energy needs, by providing access to essential infrastructure and competitive market arrangements (refer to</w:t>
      </w:r>
      <w:r w:rsidR="00F65762">
        <w:t xml:space="preserve"> paragraph</w:t>
      </w:r>
      <w:r w:rsidRPr="00BE368A">
        <w:t xml:space="preserve"> 2.1.2(b));</w:t>
      </w:r>
    </w:p>
    <w:p w14:paraId="72A72B47" w14:textId="5DB68073" w:rsidR="008A37D0" w:rsidRPr="00BE368A" w:rsidRDefault="008A37D0" w:rsidP="00BE368A">
      <w:pPr>
        <w:pStyle w:val="Numberedsubparagraph"/>
      </w:pPr>
      <w:r w:rsidRPr="00BE368A">
        <w:t xml:space="preserve">Barriers to competition in the gas industry are minimised (refer to </w:t>
      </w:r>
      <w:r w:rsidR="00F65762">
        <w:t xml:space="preserve">paragraph </w:t>
      </w:r>
      <w:r w:rsidRPr="00BE368A">
        <w:t>2.1.2(a));</w:t>
      </w:r>
      <w:r w:rsidR="00036063">
        <w:t xml:space="preserve"> and</w:t>
      </w:r>
    </w:p>
    <w:p w14:paraId="7577765F" w14:textId="470B5C55" w:rsidR="008A37D0" w:rsidRDefault="008A37D0" w:rsidP="00BE368A">
      <w:pPr>
        <w:pStyle w:val="Numberedsubparagraph"/>
      </w:pPr>
      <w:r w:rsidRPr="00BE368A">
        <w:t xml:space="preserve">Risks relating to security of supply, including transport arrangements, are properly and efficiently managed by all parties (refer to </w:t>
      </w:r>
      <w:r w:rsidR="00F65762">
        <w:t xml:space="preserve">paragraph </w:t>
      </w:r>
      <w:r w:rsidRPr="00BE368A">
        <w:t>2.1.2(b)).</w:t>
      </w:r>
    </w:p>
    <w:p w14:paraId="19E203D8" w14:textId="10DB0F81" w:rsidR="00A14730" w:rsidRPr="00BE368A" w:rsidRDefault="00F56FC8" w:rsidP="00A14730">
      <w:pPr>
        <w:pStyle w:val="Numberedsubparagraph"/>
        <w:numPr>
          <w:ilvl w:val="0"/>
          <w:numId w:val="0"/>
        </w:numPr>
        <w:ind w:left="992"/>
      </w:pPr>
      <w:r>
        <w:t xml:space="preserve">Note: When </w:t>
      </w:r>
      <w:r w:rsidR="00A14730">
        <w:t>considering any revised GTAC proposal (as adjusted following further negotiation) we also recommend that the GIC</w:t>
      </w:r>
      <w:r>
        <w:t xml:space="preserve"> </w:t>
      </w:r>
      <w:r w:rsidR="00A14730">
        <w:t xml:space="preserve">considers any necessary revisions to the broader regulatory framework that may be required in order to ensure the proposed arrangements operate as intended, i.e. changes to the </w:t>
      </w:r>
      <w:r w:rsidR="00353695">
        <w:t>r</w:t>
      </w:r>
      <w:r w:rsidR="00A14730">
        <w:t xml:space="preserve">egulations that govern the gas industry. </w:t>
      </w:r>
    </w:p>
    <w:p w14:paraId="030501EB" w14:textId="533E1400" w:rsidR="008A37D0" w:rsidRPr="00BE368A" w:rsidRDefault="008A37D0" w:rsidP="00BE368A">
      <w:pPr>
        <w:pStyle w:val="Numberedparagraph"/>
        <w:rPr>
          <w:b w:val="0"/>
        </w:rPr>
      </w:pPr>
      <w:r w:rsidRPr="00BE368A">
        <w:rPr>
          <w:b w:val="0"/>
        </w:rPr>
        <w:t xml:space="preserve">We also do not consider that the proposed new arrangements (in their current state) are consistent with the regulatory objective of the </w:t>
      </w:r>
      <w:r w:rsidR="00AF7770">
        <w:rPr>
          <w:b w:val="0"/>
        </w:rPr>
        <w:t>GTAC</w:t>
      </w:r>
      <w:r w:rsidRPr="00F65762">
        <w:rPr>
          <w:rStyle w:val="FootnoteReference"/>
          <w:b w:val="0"/>
        </w:rPr>
        <w:footnoteReference w:id="2"/>
      </w:r>
      <w:r w:rsidRPr="00BE368A">
        <w:rPr>
          <w:b w:val="0"/>
        </w:rPr>
        <w:t>:</w:t>
      </w:r>
    </w:p>
    <w:p w14:paraId="72273AF5" w14:textId="77777777" w:rsidR="008A37D0" w:rsidRPr="00443993" w:rsidRDefault="008A37D0" w:rsidP="0060741B">
      <w:pPr>
        <w:pStyle w:val="Numberedsubparagraph"/>
        <w:numPr>
          <w:ilvl w:val="0"/>
          <w:numId w:val="0"/>
        </w:numPr>
        <w:tabs>
          <w:tab w:val="left" w:pos="993"/>
        </w:tabs>
        <w:ind w:left="1277" w:right="566" w:hanging="142"/>
        <w:rPr>
          <w:i/>
        </w:rPr>
      </w:pPr>
      <w:r>
        <w:rPr>
          <w:i/>
        </w:rPr>
        <w:tab/>
      </w:r>
      <w:r w:rsidRPr="00443993">
        <w:rPr>
          <w:i/>
        </w:rPr>
        <w:t>“To promptly establish a new non-discriminatory gas transmission open access regime that facilitates safe, efficient and reliable operation and use of the gas transmission system, including:</w:t>
      </w:r>
    </w:p>
    <w:p w14:paraId="660DB7C0" w14:textId="77777777" w:rsidR="008A37D0" w:rsidRPr="00443993" w:rsidRDefault="008A37D0" w:rsidP="0060741B">
      <w:pPr>
        <w:pStyle w:val="Numberedsubparagraph"/>
        <w:numPr>
          <w:ilvl w:val="1"/>
          <w:numId w:val="11"/>
        </w:numPr>
        <w:tabs>
          <w:tab w:val="left" w:pos="993"/>
          <w:tab w:val="left" w:pos="2127"/>
          <w:tab w:val="left" w:pos="2268"/>
        </w:tabs>
        <w:ind w:left="1844" w:right="566" w:hanging="567"/>
        <w:rPr>
          <w:i/>
        </w:rPr>
      </w:pPr>
      <w:r w:rsidRPr="00443993">
        <w:rPr>
          <w:i/>
        </w:rPr>
        <w:t>Competition in the production and marketing of gas;</w:t>
      </w:r>
    </w:p>
    <w:p w14:paraId="374F1D23" w14:textId="77777777" w:rsidR="008A37D0" w:rsidRPr="00443993" w:rsidRDefault="008A37D0" w:rsidP="0060741B">
      <w:pPr>
        <w:pStyle w:val="Numberedsubparagraph"/>
        <w:numPr>
          <w:ilvl w:val="1"/>
          <w:numId w:val="11"/>
        </w:numPr>
        <w:tabs>
          <w:tab w:val="left" w:pos="993"/>
          <w:tab w:val="left" w:pos="2127"/>
          <w:tab w:val="left" w:pos="2268"/>
        </w:tabs>
        <w:ind w:left="1844" w:right="566" w:hanging="567"/>
        <w:rPr>
          <w:i/>
        </w:rPr>
      </w:pPr>
      <w:r w:rsidRPr="00443993">
        <w:rPr>
          <w:i/>
        </w:rPr>
        <w:t>Efficient investment; and</w:t>
      </w:r>
    </w:p>
    <w:p w14:paraId="711DA021" w14:textId="77777777" w:rsidR="008A37D0" w:rsidRDefault="008A37D0" w:rsidP="0060741B">
      <w:pPr>
        <w:pStyle w:val="Numberedsubparagraph"/>
        <w:numPr>
          <w:ilvl w:val="1"/>
          <w:numId w:val="11"/>
        </w:numPr>
        <w:tabs>
          <w:tab w:val="left" w:pos="993"/>
          <w:tab w:val="left" w:pos="2127"/>
          <w:tab w:val="left" w:pos="2268"/>
        </w:tabs>
        <w:ind w:left="1844" w:right="566" w:hanging="567"/>
        <w:rPr>
          <w:i/>
        </w:rPr>
      </w:pPr>
      <w:r w:rsidRPr="00443993">
        <w:rPr>
          <w:i/>
        </w:rPr>
        <w:t>Transparency of information.</w:t>
      </w:r>
      <w:r>
        <w:rPr>
          <w:i/>
        </w:rPr>
        <w:t>”</w:t>
      </w:r>
    </w:p>
    <w:p w14:paraId="7F1BD3E1" w14:textId="76E82C3C" w:rsidR="00873E38" w:rsidRPr="00873E38" w:rsidRDefault="00BA5D7C" w:rsidP="00873E38">
      <w:pPr>
        <w:pStyle w:val="Numberedparagraph"/>
        <w:numPr>
          <w:ilvl w:val="0"/>
          <w:numId w:val="0"/>
        </w:numPr>
        <w:spacing w:before="240" w:after="240"/>
        <w:ind w:left="709" w:hanging="709"/>
        <w:rPr>
          <w:i/>
        </w:rPr>
      </w:pPr>
      <w:r>
        <w:rPr>
          <w:i/>
        </w:rPr>
        <w:t xml:space="preserve">Remaining concerns with </w:t>
      </w:r>
      <w:r w:rsidR="00AF7770">
        <w:rPr>
          <w:i/>
        </w:rPr>
        <w:t>GTAC</w:t>
      </w:r>
      <w:r w:rsidR="00873E38">
        <w:rPr>
          <w:i/>
        </w:rPr>
        <w:t xml:space="preserve"> design</w:t>
      </w:r>
    </w:p>
    <w:p w14:paraId="7AEF1E4F" w14:textId="6CF5C901" w:rsidR="00F02CAF" w:rsidRDefault="00E45855" w:rsidP="00B925DC">
      <w:pPr>
        <w:pStyle w:val="Numberedparagraph"/>
        <w:rPr>
          <w:b w:val="0"/>
        </w:rPr>
      </w:pPr>
      <w:r w:rsidRPr="00FC709E">
        <w:rPr>
          <w:b w:val="0"/>
        </w:rPr>
        <w:t xml:space="preserve">We are </w:t>
      </w:r>
      <w:r w:rsidR="00CA1D0F" w:rsidRPr="00FC709E">
        <w:rPr>
          <w:b w:val="0"/>
        </w:rPr>
        <w:t xml:space="preserve">particularly </w:t>
      </w:r>
      <w:r w:rsidRPr="00FC709E">
        <w:rPr>
          <w:b w:val="0"/>
        </w:rPr>
        <w:t xml:space="preserve">concerned that at this stage in the negotiation process the workability of </w:t>
      </w:r>
      <w:r w:rsidR="00FC709E">
        <w:rPr>
          <w:b w:val="0"/>
        </w:rPr>
        <w:t xml:space="preserve">some core aspects of </w:t>
      </w:r>
      <w:r w:rsidRPr="00FC709E">
        <w:rPr>
          <w:b w:val="0"/>
        </w:rPr>
        <w:t xml:space="preserve">the new </w:t>
      </w:r>
      <w:r w:rsidR="00AF7770">
        <w:rPr>
          <w:b w:val="0"/>
        </w:rPr>
        <w:t>GTAC</w:t>
      </w:r>
      <w:r w:rsidRPr="00FC709E">
        <w:rPr>
          <w:b w:val="0"/>
        </w:rPr>
        <w:t xml:space="preserve"> ar</w:t>
      </w:r>
      <w:r w:rsidR="00FC709E">
        <w:rPr>
          <w:b w:val="0"/>
        </w:rPr>
        <w:t>rangements (particularly Priority Rights)</w:t>
      </w:r>
      <w:r w:rsidR="00F65762">
        <w:rPr>
          <w:b w:val="0"/>
        </w:rPr>
        <w:t xml:space="preserve"> have</w:t>
      </w:r>
      <w:r w:rsidRPr="00FC709E">
        <w:rPr>
          <w:b w:val="0"/>
        </w:rPr>
        <w:t xml:space="preserve"> not been able to be demonstrated, and consider that this is reflective of the fact that the design </w:t>
      </w:r>
      <w:r w:rsidR="003178B6">
        <w:rPr>
          <w:b w:val="0"/>
        </w:rPr>
        <w:t>has not been considered fully</w:t>
      </w:r>
      <w:r w:rsidRPr="00FC709E">
        <w:rPr>
          <w:b w:val="0"/>
        </w:rPr>
        <w:t xml:space="preserve">. </w:t>
      </w:r>
    </w:p>
    <w:p w14:paraId="046EC806" w14:textId="586F3391" w:rsidR="00FC709E" w:rsidRPr="000A42DD" w:rsidRDefault="00F56FC8" w:rsidP="0085389B">
      <w:pPr>
        <w:pStyle w:val="Numberedparagraph"/>
        <w:rPr>
          <w:b w:val="0"/>
        </w:rPr>
      </w:pPr>
      <w:r w:rsidRPr="000A42DD">
        <w:rPr>
          <w:b w:val="0"/>
        </w:rPr>
        <w:t xml:space="preserve">Households that use gas will likely be adversely impacted by the implementation of the proposed access products </w:t>
      </w:r>
      <w:r w:rsidR="00353695" w:rsidRPr="000A42DD">
        <w:rPr>
          <w:b w:val="0"/>
        </w:rPr>
        <w:t>–</w:t>
      </w:r>
      <w:r w:rsidRPr="000A42DD">
        <w:rPr>
          <w:b w:val="0"/>
        </w:rPr>
        <w:t xml:space="preserve"> the best solution to avoid this </w:t>
      </w:r>
      <w:r w:rsidR="00F02CAF" w:rsidRPr="000A42DD">
        <w:rPr>
          <w:b w:val="0"/>
        </w:rPr>
        <w:t>is to remove the proposed Priority Rights arrangements</w:t>
      </w:r>
      <w:r w:rsidRPr="000A42DD">
        <w:rPr>
          <w:b w:val="0"/>
        </w:rPr>
        <w:t xml:space="preserve"> in their entirety</w:t>
      </w:r>
      <w:r w:rsidR="00F02CAF" w:rsidRPr="000A42DD">
        <w:rPr>
          <w:b w:val="0"/>
        </w:rPr>
        <w:t xml:space="preserve"> from the new </w:t>
      </w:r>
      <w:r w:rsidR="00AF7770" w:rsidRPr="000A42DD">
        <w:rPr>
          <w:b w:val="0"/>
        </w:rPr>
        <w:t>GTAC</w:t>
      </w:r>
      <w:r w:rsidR="00987016" w:rsidRPr="000A42DD">
        <w:rPr>
          <w:b w:val="0"/>
        </w:rPr>
        <w:t>. This would</w:t>
      </w:r>
      <w:r w:rsidR="00F02CAF" w:rsidRPr="000A42DD">
        <w:rPr>
          <w:b w:val="0"/>
        </w:rPr>
        <w:t xml:space="preserve"> enable a more thorough design process for access products to be undertaken</w:t>
      </w:r>
      <w:r w:rsidR="00987016" w:rsidRPr="000A42DD">
        <w:rPr>
          <w:b w:val="0"/>
        </w:rPr>
        <w:t xml:space="preserve"> by First Gas and Shippers</w:t>
      </w:r>
      <w:r w:rsidR="00F02CAF" w:rsidRPr="000A42DD">
        <w:rPr>
          <w:b w:val="0"/>
        </w:rPr>
        <w:t xml:space="preserve">, in conjunction with </w:t>
      </w:r>
      <w:r w:rsidR="00F77EA8" w:rsidRPr="000A42DD">
        <w:rPr>
          <w:b w:val="0"/>
        </w:rPr>
        <w:t xml:space="preserve">parties </w:t>
      </w:r>
      <w:r w:rsidR="00F02CAF" w:rsidRPr="000A42DD">
        <w:rPr>
          <w:b w:val="0"/>
        </w:rPr>
        <w:t xml:space="preserve">experienced </w:t>
      </w:r>
      <w:r w:rsidR="00F77EA8" w:rsidRPr="000A42DD">
        <w:rPr>
          <w:b w:val="0"/>
        </w:rPr>
        <w:t xml:space="preserve">in </w:t>
      </w:r>
      <w:r w:rsidR="00F02CAF" w:rsidRPr="000A42DD">
        <w:rPr>
          <w:b w:val="0"/>
        </w:rPr>
        <w:t xml:space="preserve">market design. </w:t>
      </w:r>
      <w:r w:rsidR="000C6C60" w:rsidRPr="000A42DD">
        <w:rPr>
          <w:b w:val="0"/>
        </w:rPr>
        <w:t xml:space="preserve"> This will ensure that the</w:t>
      </w:r>
      <w:r w:rsidR="00C371DB" w:rsidRPr="000A42DD">
        <w:rPr>
          <w:b w:val="0"/>
        </w:rPr>
        <w:t xml:space="preserve"> new</w:t>
      </w:r>
      <w:r w:rsidR="000C6C60" w:rsidRPr="000A42DD">
        <w:rPr>
          <w:b w:val="0"/>
        </w:rPr>
        <w:t xml:space="preserve"> access products wil</w:t>
      </w:r>
      <w:r w:rsidR="00A14730" w:rsidRPr="000A42DD">
        <w:rPr>
          <w:b w:val="0"/>
        </w:rPr>
        <w:t>l be fit for purpose</w:t>
      </w:r>
      <w:r w:rsidR="000C6C60" w:rsidRPr="000A42DD">
        <w:rPr>
          <w:b w:val="0"/>
        </w:rPr>
        <w:t>.</w:t>
      </w:r>
    </w:p>
    <w:p w14:paraId="4492D263" w14:textId="2861D68B" w:rsidR="00482F65" w:rsidRDefault="00482F65" w:rsidP="00B925DC">
      <w:pPr>
        <w:pStyle w:val="Numberedparagraph"/>
        <w:rPr>
          <w:b w:val="0"/>
        </w:rPr>
      </w:pPr>
      <w:r>
        <w:rPr>
          <w:b w:val="0"/>
        </w:rPr>
        <w:t xml:space="preserve">Notwithstanding the issues around the proposed Priority Rights arrangements, there are a number of other matters that are of concern to Trustpower and require </w:t>
      </w:r>
      <w:r w:rsidR="00F65762">
        <w:rPr>
          <w:b w:val="0"/>
        </w:rPr>
        <w:t xml:space="preserve">addressing </w:t>
      </w:r>
      <w:r>
        <w:rPr>
          <w:b w:val="0"/>
        </w:rPr>
        <w:t xml:space="preserve">by First Gas in developing the next iteration of the </w:t>
      </w:r>
      <w:r w:rsidR="00AF7770">
        <w:rPr>
          <w:b w:val="0"/>
        </w:rPr>
        <w:t>GTAC</w:t>
      </w:r>
      <w:r w:rsidR="00353695">
        <w:rPr>
          <w:b w:val="0"/>
        </w:rPr>
        <w:t>,</w:t>
      </w:r>
      <w:r>
        <w:rPr>
          <w:b w:val="0"/>
        </w:rPr>
        <w:t xml:space="preserve"> including:</w:t>
      </w:r>
    </w:p>
    <w:p w14:paraId="7352ED65" w14:textId="2EB80C71" w:rsidR="00A54F41" w:rsidRDefault="00F65762" w:rsidP="00361614">
      <w:pPr>
        <w:pStyle w:val="Numberedsubparagraph"/>
        <w:numPr>
          <w:ilvl w:val="0"/>
          <w:numId w:val="29"/>
        </w:numPr>
      </w:pPr>
      <w:r>
        <w:t>The t</w:t>
      </w:r>
      <w:r w:rsidR="00A54F41" w:rsidRPr="00FB1B85">
        <w:t>ransfer of risk from First Gas to Shippers</w:t>
      </w:r>
      <w:r w:rsidR="00A54F41">
        <w:t xml:space="preserve">, who in some circumstances have no way to manage </w:t>
      </w:r>
      <w:r w:rsidR="000C6C60">
        <w:t>or monitor</w:t>
      </w:r>
      <w:r w:rsidR="00A54F41">
        <w:t xml:space="preserve"> that risk; and</w:t>
      </w:r>
    </w:p>
    <w:p w14:paraId="596C79FA" w14:textId="27125D28" w:rsidR="00FB1B85" w:rsidRPr="00FB1B85" w:rsidRDefault="00F65762" w:rsidP="00361614">
      <w:pPr>
        <w:pStyle w:val="Numberedsubparagraph"/>
        <w:numPr>
          <w:ilvl w:val="0"/>
          <w:numId w:val="29"/>
        </w:numPr>
      </w:pPr>
      <w:r>
        <w:t>The l</w:t>
      </w:r>
      <w:r w:rsidR="00FB1B85" w:rsidRPr="00FB1B85">
        <w:t>ack of appropriate arrangements to ensure competitive outcomes eventuate</w:t>
      </w:r>
      <w:r w:rsidR="00FB1B85">
        <w:t>;</w:t>
      </w:r>
    </w:p>
    <w:p w14:paraId="50EF4DA1" w14:textId="30F15EE4" w:rsidR="00FB1B85" w:rsidRDefault="00F65762" w:rsidP="00361614">
      <w:pPr>
        <w:pStyle w:val="Numberedsubparagraph"/>
        <w:numPr>
          <w:ilvl w:val="0"/>
          <w:numId w:val="29"/>
        </w:numPr>
      </w:pPr>
      <w:r>
        <w:t>The l</w:t>
      </w:r>
      <w:r w:rsidR="00FB1B85" w:rsidRPr="00FB1B85">
        <w:t>ack of transparency</w:t>
      </w:r>
      <w:r w:rsidR="00FB1B85">
        <w:t xml:space="preserve"> around </w:t>
      </w:r>
      <w:r w:rsidR="00A14730">
        <w:t>the gas industry</w:t>
      </w:r>
      <w:r w:rsidR="00987016">
        <w:t xml:space="preserve">, including with respect to some core elements of the new </w:t>
      </w:r>
      <w:r w:rsidR="00AF7770">
        <w:t>GTAC</w:t>
      </w:r>
      <w:r w:rsidR="00987016">
        <w:t xml:space="preserve"> arrangements</w:t>
      </w:r>
      <w:r>
        <w:rPr>
          <w:rStyle w:val="FootnoteReference"/>
        </w:rPr>
        <w:footnoteReference w:id="3"/>
      </w:r>
      <w:r w:rsidR="00FB1B85">
        <w:t>;</w:t>
      </w:r>
    </w:p>
    <w:p w14:paraId="6F82F58D" w14:textId="65C20BA3" w:rsidR="00FB1B85" w:rsidRDefault="00B17D83" w:rsidP="00361614">
      <w:pPr>
        <w:pStyle w:val="Numberedsubparagraph"/>
        <w:numPr>
          <w:ilvl w:val="0"/>
          <w:numId w:val="29"/>
        </w:numPr>
      </w:pPr>
      <w:r>
        <w:t>The a</w:t>
      </w:r>
      <w:r w:rsidR="00482F65" w:rsidRPr="00FB1B85">
        <w:t>doption of a principles based approach</w:t>
      </w:r>
      <w:r w:rsidR="00482F65">
        <w:t xml:space="preserve"> to drafting a multi-lateral contract </w:t>
      </w:r>
      <w:r w:rsidR="00FB1B85">
        <w:t xml:space="preserve">and significant discretion afforded to </w:t>
      </w:r>
      <w:r w:rsidR="00FB1B85" w:rsidRPr="00482F65">
        <w:t>First Gas as the Tra</w:t>
      </w:r>
      <w:r w:rsidR="00FB1B85">
        <w:t>nsmission System Operator (</w:t>
      </w:r>
      <w:r w:rsidR="00FB1B85" w:rsidRPr="00987016">
        <w:rPr>
          <w:b/>
        </w:rPr>
        <w:t>TSO</w:t>
      </w:r>
      <w:r w:rsidR="00FB1B85">
        <w:t xml:space="preserve">), which in some circumstances means there were is a lack of detail </w:t>
      </w:r>
      <w:r w:rsidR="000C6C60">
        <w:t>and significant ambiguity</w:t>
      </w:r>
      <w:r w:rsidR="00FB1B85">
        <w:t xml:space="preserve"> as to how the arrangements will operate in practice</w:t>
      </w:r>
      <w:r w:rsidR="00A54F41" w:rsidRPr="00A54F41">
        <w:t>; and</w:t>
      </w:r>
      <w:r w:rsidR="00FB1B85">
        <w:t xml:space="preserve"> </w:t>
      </w:r>
    </w:p>
    <w:p w14:paraId="19338E01" w14:textId="6E458A8C" w:rsidR="00FB1B85" w:rsidRPr="00BE368A" w:rsidRDefault="00BE368A" w:rsidP="00361614">
      <w:pPr>
        <w:pStyle w:val="Numberedsubparagraph"/>
        <w:numPr>
          <w:ilvl w:val="0"/>
          <w:numId w:val="29"/>
        </w:numPr>
      </w:pPr>
      <w:r w:rsidRPr="00BE368A">
        <w:t>Issues with the proposed</w:t>
      </w:r>
      <w:r w:rsidR="00FB1B85" w:rsidRPr="00BE368A">
        <w:t xml:space="preserve"> drafting </w:t>
      </w:r>
      <w:r w:rsidR="00B17D83">
        <w:t xml:space="preserve">of </w:t>
      </w:r>
      <w:r w:rsidR="00FB1B85" w:rsidRPr="00BE368A">
        <w:t xml:space="preserve">the </w:t>
      </w:r>
      <w:r w:rsidR="00AF7770">
        <w:t>GTAC</w:t>
      </w:r>
      <w:r w:rsidRPr="00BE368A">
        <w:t>.</w:t>
      </w:r>
    </w:p>
    <w:p w14:paraId="166F059C" w14:textId="62082D49" w:rsidR="00F06CAE" w:rsidRPr="00F06CAE" w:rsidRDefault="00F06CAE" w:rsidP="00873E38">
      <w:pPr>
        <w:pStyle w:val="Numberedsubparagraph"/>
        <w:numPr>
          <w:ilvl w:val="0"/>
          <w:numId w:val="0"/>
        </w:numPr>
        <w:spacing w:before="240" w:after="240"/>
        <w:rPr>
          <w:b/>
          <w:i/>
        </w:rPr>
      </w:pPr>
      <w:r w:rsidRPr="00F06CAE">
        <w:rPr>
          <w:b/>
          <w:i/>
        </w:rPr>
        <w:t xml:space="preserve">Extension of time for progressing the </w:t>
      </w:r>
      <w:r w:rsidR="00AF7770">
        <w:rPr>
          <w:b/>
          <w:i/>
        </w:rPr>
        <w:t>GTAC</w:t>
      </w:r>
      <w:r w:rsidRPr="00F06CAE">
        <w:rPr>
          <w:b/>
          <w:i/>
        </w:rPr>
        <w:t xml:space="preserve"> required to address issues</w:t>
      </w:r>
      <w:r w:rsidR="00873E38">
        <w:rPr>
          <w:b/>
          <w:i/>
        </w:rPr>
        <w:t xml:space="preserve"> required </w:t>
      </w:r>
    </w:p>
    <w:p w14:paraId="0B87792E" w14:textId="52611B6E" w:rsidR="00F06CAE" w:rsidRDefault="00E9036C" w:rsidP="00E9036C">
      <w:pPr>
        <w:pStyle w:val="Numberedparagraph"/>
        <w:rPr>
          <w:b w:val="0"/>
        </w:rPr>
      </w:pPr>
      <w:bookmarkStart w:id="35" w:name="_Ref494289109"/>
      <w:r w:rsidRPr="00E9036C">
        <w:rPr>
          <w:b w:val="0"/>
        </w:rPr>
        <w:t>We suggest that additional time (to that currently allowed</w:t>
      </w:r>
      <w:r w:rsidRPr="00E9036C">
        <w:rPr>
          <w:rStyle w:val="FootnoteReference"/>
          <w:b w:val="0"/>
        </w:rPr>
        <w:footnoteReference w:id="4"/>
      </w:r>
      <w:r w:rsidRPr="00E9036C">
        <w:rPr>
          <w:b w:val="0"/>
        </w:rPr>
        <w:t>) for First Gas to consider these issues, along with those raised by other Shippers</w:t>
      </w:r>
      <w:r w:rsidR="00A14730">
        <w:rPr>
          <w:b w:val="0"/>
        </w:rPr>
        <w:t xml:space="preserve"> and Interconnected Parties</w:t>
      </w:r>
      <w:r w:rsidRPr="00E9036C">
        <w:rPr>
          <w:b w:val="0"/>
        </w:rPr>
        <w:t xml:space="preserve">, </w:t>
      </w:r>
      <w:r w:rsidR="000A42DD">
        <w:rPr>
          <w:b w:val="0"/>
        </w:rPr>
        <w:t>will</w:t>
      </w:r>
      <w:r w:rsidR="000A42DD" w:rsidRPr="00E9036C">
        <w:rPr>
          <w:b w:val="0"/>
        </w:rPr>
        <w:t xml:space="preserve"> </w:t>
      </w:r>
      <w:r w:rsidRPr="00E9036C">
        <w:rPr>
          <w:b w:val="0"/>
        </w:rPr>
        <w:t>be necessary in ord</w:t>
      </w:r>
      <w:r w:rsidR="007C35D4">
        <w:rPr>
          <w:b w:val="0"/>
        </w:rPr>
        <w:t xml:space="preserve">er to ensure the next round of </w:t>
      </w:r>
      <w:r w:rsidR="00BF5E1D">
        <w:rPr>
          <w:b w:val="0"/>
        </w:rPr>
        <w:t>negotiation</w:t>
      </w:r>
      <w:r w:rsidRPr="00E9036C">
        <w:rPr>
          <w:b w:val="0"/>
        </w:rPr>
        <w:t xml:space="preserve"> and legal mark-ups is efficient. </w:t>
      </w:r>
      <w:r w:rsidR="00F06CAE">
        <w:rPr>
          <w:b w:val="0"/>
        </w:rPr>
        <w:t>To this extent</w:t>
      </w:r>
      <w:r w:rsidR="000A42DD">
        <w:rPr>
          <w:b w:val="0"/>
        </w:rPr>
        <w:t>,</w:t>
      </w:r>
      <w:r w:rsidR="00F06CAE">
        <w:rPr>
          <w:b w:val="0"/>
        </w:rPr>
        <w:t xml:space="preserve"> we support First Gas further exploring the possibility of extending the VTC for a shorter period of time than 12 months, as discussed previously at the industry workshop on 15 September 2017.</w:t>
      </w:r>
      <w:bookmarkEnd w:id="35"/>
      <w:r w:rsidR="000C6C60">
        <w:rPr>
          <w:b w:val="0"/>
        </w:rPr>
        <w:t xml:space="preserve">  We </w:t>
      </w:r>
      <w:r w:rsidR="00C371DB">
        <w:rPr>
          <w:b w:val="0"/>
        </w:rPr>
        <w:t>continue to support First Gas in</w:t>
      </w:r>
      <w:r w:rsidR="000C6C60">
        <w:rPr>
          <w:b w:val="0"/>
        </w:rPr>
        <w:t xml:space="preserve"> ensur</w:t>
      </w:r>
      <w:r w:rsidR="00C371DB">
        <w:rPr>
          <w:b w:val="0"/>
        </w:rPr>
        <w:t>ing</w:t>
      </w:r>
      <w:r w:rsidR="000C6C60">
        <w:rPr>
          <w:b w:val="0"/>
        </w:rPr>
        <w:t xml:space="preserve"> that the GTAC is implemented in a timely manner, but believe that the plethora of issues in the current version increases the likelihood of a cont</w:t>
      </w:r>
      <w:r w:rsidR="005908E7">
        <w:rPr>
          <w:b w:val="0"/>
        </w:rPr>
        <w:t>r</w:t>
      </w:r>
      <w:r w:rsidR="000C6C60">
        <w:rPr>
          <w:b w:val="0"/>
        </w:rPr>
        <w:t>act which is practically unworkable for the industry.</w:t>
      </w:r>
    </w:p>
    <w:p w14:paraId="685BB657" w14:textId="4C2EB9D2" w:rsidR="00E9036C" w:rsidRDefault="00E9036C" w:rsidP="00E9036C">
      <w:pPr>
        <w:pStyle w:val="Numberedparagraph"/>
        <w:rPr>
          <w:b w:val="0"/>
        </w:rPr>
      </w:pPr>
      <w:bookmarkStart w:id="36" w:name="_Ref494289059"/>
      <w:r w:rsidRPr="00E9036C">
        <w:rPr>
          <w:b w:val="0"/>
        </w:rPr>
        <w:lastRenderedPageBreak/>
        <w:t>We are strongly of the view that working to</w:t>
      </w:r>
      <w:r>
        <w:rPr>
          <w:b w:val="0"/>
        </w:rPr>
        <w:t xml:space="preserve"> unnecessarily</w:t>
      </w:r>
      <w:r w:rsidRPr="00E9036C">
        <w:rPr>
          <w:b w:val="0"/>
        </w:rPr>
        <w:t xml:space="preserve"> tight timeframes </w:t>
      </w:r>
      <w:r>
        <w:rPr>
          <w:b w:val="0"/>
        </w:rPr>
        <w:t xml:space="preserve">will likely </w:t>
      </w:r>
      <w:r w:rsidRPr="00E9036C">
        <w:rPr>
          <w:b w:val="0"/>
        </w:rPr>
        <w:t xml:space="preserve">result in sub-optimal </w:t>
      </w:r>
      <w:r w:rsidR="00AF7770">
        <w:rPr>
          <w:b w:val="0"/>
        </w:rPr>
        <w:t>GTAC</w:t>
      </w:r>
      <w:r w:rsidRPr="00E9036C">
        <w:rPr>
          <w:b w:val="0"/>
        </w:rPr>
        <w:t xml:space="preserve"> arrangements. As an industry</w:t>
      </w:r>
      <w:r w:rsidR="000A42DD">
        <w:rPr>
          <w:b w:val="0"/>
        </w:rPr>
        <w:t>,</w:t>
      </w:r>
      <w:r w:rsidRPr="00E9036C">
        <w:rPr>
          <w:b w:val="0"/>
        </w:rPr>
        <w:t xml:space="preserve"> we have a unique opportunity to develop efficient, effective</w:t>
      </w:r>
      <w:r w:rsidR="00614463">
        <w:rPr>
          <w:b w:val="0"/>
        </w:rPr>
        <w:t xml:space="preserve"> gas transmission</w:t>
      </w:r>
      <w:r w:rsidRPr="00E9036C">
        <w:rPr>
          <w:b w:val="0"/>
        </w:rPr>
        <w:t xml:space="preserve"> arrangements that promote the </w:t>
      </w:r>
      <w:r w:rsidR="005908E7">
        <w:rPr>
          <w:b w:val="0"/>
        </w:rPr>
        <w:t>efficient</w:t>
      </w:r>
      <w:r w:rsidRPr="00E9036C">
        <w:rPr>
          <w:b w:val="0"/>
        </w:rPr>
        <w:t xml:space="preserve"> use of gas in New Zealand for</w:t>
      </w:r>
      <w:r w:rsidR="000A42DD">
        <w:rPr>
          <w:b w:val="0"/>
        </w:rPr>
        <w:t xml:space="preserve"> the</w:t>
      </w:r>
      <w:r w:rsidRPr="00E9036C">
        <w:rPr>
          <w:b w:val="0"/>
        </w:rPr>
        <w:t xml:space="preserve"> </w:t>
      </w:r>
      <w:r w:rsidR="005908E7">
        <w:rPr>
          <w:b w:val="0"/>
        </w:rPr>
        <w:t>foreseeable future</w:t>
      </w:r>
      <w:r w:rsidRPr="00E9036C">
        <w:rPr>
          <w:b w:val="0"/>
        </w:rPr>
        <w:t xml:space="preserve">. While refinements will be possible to the </w:t>
      </w:r>
      <w:r w:rsidR="00AF7770">
        <w:rPr>
          <w:b w:val="0"/>
        </w:rPr>
        <w:t>GTAC</w:t>
      </w:r>
      <w:r w:rsidRPr="00E9036C">
        <w:rPr>
          <w:b w:val="0"/>
        </w:rPr>
        <w:t xml:space="preserve"> arrangements</w:t>
      </w:r>
      <w:r w:rsidR="00614463">
        <w:rPr>
          <w:b w:val="0"/>
        </w:rPr>
        <w:t xml:space="preserve"> (</w:t>
      </w:r>
      <w:r>
        <w:rPr>
          <w:b w:val="0"/>
        </w:rPr>
        <w:t>and are naturally expected to be required overtime)</w:t>
      </w:r>
      <w:r w:rsidRPr="00E9036C">
        <w:rPr>
          <w:b w:val="0"/>
        </w:rPr>
        <w:t xml:space="preserve">, it would </w:t>
      </w:r>
      <w:r w:rsidR="00B17D83">
        <w:rPr>
          <w:b w:val="0"/>
        </w:rPr>
        <w:t xml:space="preserve">in our view </w:t>
      </w:r>
      <w:r w:rsidRPr="00E9036C">
        <w:rPr>
          <w:b w:val="0"/>
        </w:rPr>
        <w:t xml:space="preserve">signal a failure of this current negotiation process if too many refinements to the </w:t>
      </w:r>
      <w:r w:rsidR="00AF7770">
        <w:rPr>
          <w:b w:val="0"/>
        </w:rPr>
        <w:t>GTAC</w:t>
      </w:r>
      <w:r w:rsidRPr="00E9036C">
        <w:rPr>
          <w:b w:val="0"/>
        </w:rPr>
        <w:t xml:space="preserve"> were required in quick succession</w:t>
      </w:r>
      <w:r>
        <w:rPr>
          <w:b w:val="0"/>
        </w:rPr>
        <w:t xml:space="preserve"> immediately</w:t>
      </w:r>
      <w:r w:rsidRPr="00E9036C">
        <w:rPr>
          <w:b w:val="0"/>
        </w:rPr>
        <w:t xml:space="preserve"> following its implementation. </w:t>
      </w:r>
      <w:r>
        <w:rPr>
          <w:b w:val="0"/>
        </w:rPr>
        <w:t xml:space="preserve">We urge First Gas to keep </w:t>
      </w:r>
      <w:r w:rsidR="00443BE2">
        <w:rPr>
          <w:b w:val="0"/>
        </w:rPr>
        <w:t xml:space="preserve">the following </w:t>
      </w:r>
      <w:r>
        <w:rPr>
          <w:b w:val="0"/>
        </w:rPr>
        <w:t>in mind: “</w:t>
      </w:r>
      <w:r w:rsidRPr="00E9036C">
        <w:rPr>
          <w:b w:val="0"/>
          <w:i/>
        </w:rPr>
        <w:t>more haste, less speed</w:t>
      </w:r>
      <w:r>
        <w:rPr>
          <w:b w:val="0"/>
        </w:rPr>
        <w:t>”.</w:t>
      </w:r>
      <w:bookmarkEnd w:id="36"/>
      <w:r>
        <w:rPr>
          <w:b w:val="0"/>
        </w:rPr>
        <w:t xml:space="preserve"> </w:t>
      </w:r>
    </w:p>
    <w:p w14:paraId="71E9A765" w14:textId="47CF836D" w:rsidR="000D166C" w:rsidRDefault="000D166C" w:rsidP="000D166C">
      <w:pPr>
        <w:pStyle w:val="Heading2"/>
        <w:numPr>
          <w:ilvl w:val="0"/>
          <w:numId w:val="0"/>
        </w:numPr>
      </w:pPr>
    </w:p>
    <w:p w14:paraId="7EF1B56D" w14:textId="77777777" w:rsidR="000D166C" w:rsidRPr="000D166C" w:rsidRDefault="000D166C" w:rsidP="000D166C">
      <w:pPr>
        <w:pStyle w:val="BodyText"/>
        <w:rPr>
          <w:lang w:val="en-AU"/>
        </w:rPr>
      </w:pPr>
    </w:p>
    <w:p w14:paraId="027F6EA0" w14:textId="1008B4C1" w:rsidR="00F06CAE" w:rsidRPr="00F06CAE" w:rsidRDefault="00F06CAE" w:rsidP="00BE368A">
      <w:pPr>
        <w:pStyle w:val="Numberedsubheading"/>
      </w:pPr>
      <w:bookmarkStart w:id="37" w:name="_Toc495327987"/>
      <w:r w:rsidRPr="00F06CAE">
        <w:t xml:space="preserve">Structure of </w:t>
      </w:r>
      <w:r w:rsidR="00443BE2">
        <w:t>this response</w:t>
      </w:r>
      <w:bookmarkEnd w:id="37"/>
    </w:p>
    <w:p w14:paraId="52770F77" w14:textId="74835E3C" w:rsidR="00FB1B85" w:rsidRDefault="00443BE2" w:rsidP="00B925DC">
      <w:pPr>
        <w:pStyle w:val="Numberedparagraph"/>
        <w:rPr>
          <w:b w:val="0"/>
        </w:rPr>
      </w:pPr>
      <w:r>
        <w:rPr>
          <w:b w:val="0"/>
        </w:rPr>
        <w:t>The remainder of our response</w:t>
      </w:r>
      <w:r w:rsidR="00FB1B85">
        <w:rPr>
          <w:b w:val="0"/>
        </w:rPr>
        <w:t xml:space="preserve"> is structured as follows:</w:t>
      </w:r>
    </w:p>
    <w:p w14:paraId="3AAD3AB1" w14:textId="5D28AFF1" w:rsidR="00614463" w:rsidRPr="00BE368A" w:rsidRDefault="00BE368A" w:rsidP="00361614">
      <w:pPr>
        <w:pStyle w:val="Numberedsubparagraph"/>
        <w:numPr>
          <w:ilvl w:val="0"/>
          <w:numId w:val="25"/>
        </w:numPr>
      </w:pPr>
      <w:r w:rsidRPr="00BE368A">
        <w:t>Section 2.3</w:t>
      </w:r>
      <w:r w:rsidR="00614463" w:rsidRPr="00BE368A">
        <w:t xml:space="preserve"> explores the outstanding issues with the proposed design of the Priority Rights arrangements</w:t>
      </w:r>
      <w:r w:rsidR="00D32CD7" w:rsidRPr="00BE368A">
        <w:t xml:space="preserve">, including the transfer of risk to mass market retailers when they have no </w:t>
      </w:r>
      <w:r w:rsidR="00443BE2">
        <w:t>way of managing that r</w:t>
      </w:r>
      <w:r w:rsidR="00D32CD7" w:rsidRPr="00BE368A">
        <w:t>isk</w:t>
      </w:r>
      <w:r w:rsidR="00614463" w:rsidRPr="00BE368A">
        <w:t>. This is supported b</w:t>
      </w:r>
      <w:r w:rsidR="00E84665">
        <w:t>y the expert views provided by T</w:t>
      </w:r>
      <w:r w:rsidR="00614463" w:rsidRPr="00BE368A">
        <w:t>he Lantau Group</w:t>
      </w:r>
      <w:r w:rsidR="00443BE2">
        <w:t xml:space="preserve"> </w:t>
      </w:r>
      <w:r w:rsidR="009F2BE5">
        <w:t>in Appendix A</w:t>
      </w:r>
      <w:r w:rsidR="00614463" w:rsidRPr="00BE368A">
        <w:t>;</w:t>
      </w:r>
    </w:p>
    <w:p w14:paraId="3F4C8CF7" w14:textId="62715455" w:rsidR="00614463" w:rsidRPr="00BE368A" w:rsidRDefault="00BE368A" w:rsidP="00BE368A">
      <w:pPr>
        <w:pStyle w:val="Numberedsubparagraph"/>
      </w:pPr>
      <w:r w:rsidRPr="00BE368A">
        <w:t>Section 2.4</w:t>
      </w:r>
      <w:r w:rsidR="00614463" w:rsidRPr="00BE368A">
        <w:t xml:space="preserve"> covers the importance of establishing a compliance function for the new </w:t>
      </w:r>
      <w:r w:rsidR="00AF7770">
        <w:t>GTAC</w:t>
      </w:r>
      <w:r w:rsidR="00614463" w:rsidRPr="00BE368A">
        <w:t xml:space="preserve"> arrangements. </w:t>
      </w:r>
      <w:r w:rsidR="00552F95">
        <w:t>O</w:t>
      </w:r>
      <w:r w:rsidR="00E84665">
        <w:t xml:space="preserve">ur </w:t>
      </w:r>
      <w:r w:rsidR="000712F4">
        <w:t>suggested</w:t>
      </w:r>
      <w:r w:rsidR="00E84665">
        <w:t xml:space="preserve"> </w:t>
      </w:r>
      <w:r w:rsidR="00443BE2">
        <w:t>drafting to establish a</w:t>
      </w:r>
      <w:r w:rsidR="00E84665">
        <w:t xml:space="preserve"> compliance </w:t>
      </w:r>
      <w:r w:rsidR="00335535">
        <w:t>function</w:t>
      </w:r>
      <w:r w:rsidR="00443BE2">
        <w:t xml:space="preserve"> in the </w:t>
      </w:r>
      <w:r w:rsidR="00AF7770">
        <w:t>GTAC</w:t>
      </w:r>
      <w:r w:rsidR="00335535">
        <w:t xml:space="preserve"> </w:t>
      </w:r>
      <w:r w:rsidR="009F2BE5">
        <w:t>pr</w:t>
      </w:r>
      <w:r w:rsidR="00552F95">
        <w:t>esented in Appendix B</w:t>
      </w:r>
      <w:r w:rsidR="00614463" w:rsidRPr="00BE368A">
        <w:t>;</w:t>
      </w:r>
    </w:p>
    <w:p w14:paraId="378E07CC" w14:textId="531A1590" w:rsidR="00614463" w:rsidRPr="00BE368A" w:rsidRDefault="00BE368A" w:rsidP="00BE368A">
      <w:pPr>
        <w:pStyle w:val="Numberedsubparagraph"/>
      </w:pPr>
      <w:r w:rsidRPr="00BE368A">
        <w:t>Section 2.5</w:t>
      </w:r>
      <w:r w:rsidR="00614463" w:rsidRPr="00BE368A">
        <w:t xml:space="preserve"> </w:t>
      </w:r>
      <w:r w:rsidR="00D32CD7" w:rsidRPr="00BE368A">
        <w:t xml:space="preserve">presents our views on the importance of enhancing transparency of information within the </w:t>
      </w:r>
      <w:r w:rsidR="00AF7770">
        <w:t>GTAC</w:t>
      </w:r>
      <w:r w:rsidR="00D32CD7" w:rsidRPr="00BE368A">
        <w:t xml:space="preserve"> arrangements;</w:t>
      </w:r>
    </w:p>
    <w:p w14:paraId="388A62D8" w14:textId="438F9DC4" w:rsidR="00CA1D0F" w:rsidRPr="00BE368A" w:rsidRDefault="00BE368A" w:rsidP="00BE368A">
      <w:pPr>
        <w:pStyle w:val="Numberedsubparagraph"/>
      </w:pPr>
      <w:r w:rsidRPr="00BE368A">
        <w:t>Section 2.6</w:t>
      </w:r>
      <w:r w:rsidR="00D32CD7" w:rsidRPr="00BE368A">
        <w:t xml:space="preserve"> touches on our concerns with the limited level of detail available around some important aspects of the new </w:t>
      </w:r>
      <w:r w:rsidR="00AF7770">
        <w:t>GTAC</w:t>
      </w:r>
      <w:r w:rsidR="00D32CD7" w:rsidRPr="00BE368A">
        <w:t xml:space="preserve"> arrangements, along with the significant discretion afforded to First Gas;</w:t>
      </w:r>
      <w:r w:rsidR="00DE603D">
        <w:t xml:space="preserve"> and</w:t>
      </w:r>
    </w:p>
    <w:p w14:paraId="556ABCA4" w14:textId="2ABA1B71" w:rsidR="00D32CD7" w:rsidRPr="00BE368A" w:rsidRDefault="00BE368A" w:rsidP="00BE368A">
      <w:pPr>
        <w:pStyle w:val="Numberedsubparagraph"/>
      </w:pPr>
      <w:r w:rsidRPr="00BE368A">
        <w:t>Section 2.7</w:t>
      </w:r>
      <w:r w:rsidR="00D32CD7" w:rsidRPr="00BE368A">
        <w:t xml:space="preserve"> outlines those high level areas where </w:t>
      </w:r>
      <w:r w:rsidR="00443BE2">
        <w:t xml:space="preserve">we request refinements are made to the proposed </w:t>
      </w:r>
      <w:r w:rsidR="00AF7770">
        <w:t>GTAC</w:t>
      </w:r>
      <w:r w:rsidR="00552F95">
        <w:t>, with Appendix C</w:t>
      </w:r>
      <w:r w:rsidR="00443BE2">
        <w:t xml:space="preserve"> </w:t>
      </w:r>
      <w:r w:rsidR="00B3248C">
        <w:t>detailing</w:t>
      </w:r>
      <w:r w:rsidR="00443BE2">
        <w:t xml:space="preserve"> the specific mark-ups to the </w:t>
      </w:r>
      <w:r w:rsidR="00AF7770">
        <w:t>GTAC</w:t>
      </w:r>
      <w:r w:rsidR="00443BE2">
        <w:t>.</w:t>
      </w:r>
    </w:p>
    <w:p w14:paraId="60FEB26C" w14:textId="08D07BC4" w:rsidR="00CA1D0F" w:rsidRDefault="00D12BFD" w:rsidP="00BE368A">
      <w:pPr>
        <w:pStyle w:val="Heading2"/>
      </w:pPr>
      <w:bookmarkStart w:id="38" w:name="_Ref485460800"/>
      <w:bookmarkStart w:id="39" w:name="_Toc495327988"/>
      <w:r>
        <w:t>Issues</w:t>
      </w:r>
      <w:r w:rsidR="00D32CD7">
        <w:t xml:space="preserve"> with design of Priority Rights arrangements</w:t>
      </w:r>
      <w:bookmarkEnd w:id="39"/>
    </w:p>
    <w:p w14:paraId="560BA44A" w14:textId="754F1390" w:rsidR="009C3346" w:rsidRPr="009C3346" w:rsidRDefault="002A1DE8" w:rsidP="002A1DE8">
      <w:pPr>
        <w:pStyle w:val="Numberedparagraph"/>
      </w:pPr>
      <w:r w:rsidRPr="002A1DE8">
        <w:rPr>
          <w:b w:val="0"/>
        </w:rPr>
        <w:t xml:space="preserve">We continue to have </w:t>
      </w:r>
      <w:r w:rsidR="000A42DD">
        <w:rPr>
          <w:b w:val="0"/>
        </w:rPr>
        <w:t>significant</w:t>
      </w:r>
      <w:r w:rsidR="000A42DD" w:rsidRPr="002A1DE8">
        <w:rPr>
          <w:b w:val="0"/>
        </w:rPr>
        <w:t xml:space="preserve"> </w:t>
      </w:r>
      <w:r w:rsidRPr="002A1DE8">
        <w:rPr>
          <w:b w:val="0"/>
        </w:rPr>
        <w:t xml:space="preserve">concerns with the proposed design for access products under the </w:t>
      </w:r>
      <w:r w:rsidR="00AF7770">
        <w:rPr>
          <w:b w:val="0"/>
        </w:rPr>
        <w:t>GTAC</w:t>
      </w:r>
      <w:r w:rsidR="003F109D">
        <w:rPr>
          <w:b w:val="0"/>
        </w:rPr>
        <w:t>, particularly with respect to Priority Rights</w:t>
      </w:r>
      <w:r w:rsidRPr="002A1DE8">
        <w:rPr>
          <w:b w:val="0"/>
        </w:rPr>
        <w:t>. The proposed arrangements constitute a significant change</w:t>
      </w:r>
      <w:r>
        <w:rPr>
          <w:b w:val="0"/>
        </w:rPr>
        <w:t xml:space="preserve"> from the status quo</w:t>
      </w:r>
      <w:r w:rsidR="003F109D">
        <w:rPr>
          <w:b w:val="0"/>
        </w:rPr>
        <w:t xml:space="preserve"> (</w:t>
      </w:r>
      <w:r w:rsidR="00B3248C">
        <w:rPr>
          <w:b w:val="0"/>
        </w:rPr>
        <w:t xml:space="preserve">i.e. </w:t>
      </w:r>
      <w:r w:rsidR="003F109D">
        <w:rPr>
          <w:b w:val="0"/>
        </w:rPr>
        <w:t>under the VTC)</w:t>
      </w:r>
      <w:r w:rsidR="00B3248C">
        <w:rPr>
          <w:b w:val="0"/>
        </w:rPr>
        <w:t>,</w:t>
      </w:r>
      <w:r>
        <w:rPr>
          <w:b w:val="0"/>
        </w:rPr>
        <w:t xml:space="preserve"> </w:t>
      </w:r>
      <w:r w:rsidR="003F109D">
        <w:rPr>
          <w:b w:val="0"/>
        </w:rPr>
        <w:t>where</w:t>
      </w:r>
      <w:r>
        <w:rPr>
          <w:b w:val="0"/>
        </w:rPr>
        <w:t xml:space="preserve"> gas transmission capacity </w:t>
      </w:r>
      <w:r w:rsidR="003F109D">
        <w:rPr>
          <w:b w:val="0"/>
        </w:rPr>
        <w:t>is</w:t>
      </w:r>
      <w:r>
        <w:rPr>
          <w:b w:val="0"/>
        </w:rPr>
        <w:t xml:space="preserve"> firm by default</w:t>
      </w:r>
      <w:r w:rsidR="00B3248C">
        <w:rPr>
          <w:b w:val="0"/>
        </w:rPr>
        <w:t>,</w:t>
      </w:r>
      <w:r>
        <w:rPr>
          <w:b w:val="0"/>
        </w:rPr>
        <w:t xml:space="preserve"> to now being “un-firm”</w:t>
      </w:r>
      <w:r w:rsidR="00443BE2">
        <w:rPr>
          <w:b w:val="0"/>
        </w:rPr>
        <w:t>,</w:t>
      </w:r>
      <w:r>
        <w:rPr>
          <w:b w:val="0"/>
        </w:rPr>
        <w:t xml:space="preserve"> unless Priority Rights are successfully purchased via an </w:t>
      </w:r>
      <w:r w:rsidR="00B3248C">
        <w:rPr>
          <w:b w:val="0"/>
        </w:rPr>
        <w:t>a</w:t>
      </w:r>
      <w:r>
        <w:rPr>
          <w:b w:val="0"/>
        </w:rPr>
        <w:t>uction or secondary trades</w:t>
      </w:r>
      <w:r w:rsidR="009C3346">
        <w:rPr>
          <w:b w:val="0"/>
        </w:rPr>
        <w:t>, in which case the capacity becomes “firmer”</w:t>
      </w:r>
      <w:r>
        <w:rPr>
          <w:b w:val="0"/>
        </w:rPr>
        <w:t xml:space="preserve">. </w:t>
      </w:r>
      <w:r w:rsidR="005908E7">
        <w:rPr>
          <w:b w:val="0"/>
        </w:rPr>
        <w:t xml:space="preserve"> </w:t>
      </w:r>
    </w:p>
    <w:p w14:paraId="5C473D75" w14:textId="3DBD570E" w:rsidR="003B1616" w:rsidRPr="003B1616" w:rsidRDefault="002A1DE8" w:rsidP="003B1616">
      <w:pPr>
        <w:pStyle w:val="Numberedparagraph"/>
      </w:pPr>
      <w:r w:rsidRPr="003F109D">
        <w:rPr>
          <w:b w:val="0"/>
        </w:rPr>
        <w:t xml:space="preserve">This </w:t>
      </w:r>
      <w:r w:rsidR="000A42DD">
        <w:rPr>
          <w:b w:val="0"/>
        </w:rPr>
        <w:t xml:space="preserve">change </w:t>
      </w:r>
      <w:r w:rsidR="00B3248C">
        <w:rPr>
          <w:b w:val="0"/>
        </w:rPr>
        <w:t>would be</w:t>
      </w:r>
      <w:r w:rsidR="00B3248C" w:rsidRPr="003F109D">
        <w:rPr>
          <w:b w:val="0"/>
        </w:rPr>
        <w:t xml:space="preserve"> </w:t>
      </w:r>
      <w:r w:rsidRPr="003F109D">
        <w:rPr>
          <w:b w:val="0"/>
        </w:rPr>
        <w:t>a bespoke arran</w:t>
      </w:r>
      <w:r w:rsidR="00443BE2">
        <w:rPr>
          <w:b w:val="0"/>
        </w:rPr>
        <w:t>gement</w:t>
      </w:r>
      <w:r w:rsidR="00C404FB">
        <w:rPr>
          <w:b w:val="0"/>
        </w:rPr>
        <w:t xml:space="preserve">, unique to </w:t>
      </w:r>
      <w:r w:rsidR="00443BE2">
        <w:rPr>
          <w:b w:val="0"/>
        </w:rPr>
        <w:t>the NZ gas industry. It is</w:t>
      </w:r>
      <w:r w:rsidRPr="003F109D">
        <w:rPr>
          <w:b w:val="0"/>
        </w:rPr>
        <w:t xml:space="preserve"> uncertain why firm access </w:t>
      </w:r>
      <w:r w:rsidR="00806979">
        <w:rPr>
          <w:b w:val="0"/>
        </w:rPr>
        <w:t>cannot be made available for a longer period of time</w:t>
      </w:r>
      <w:r w:rsidRPr="003F109D">
        <w:rPr>
          <w:b w:val="0"/>
        </w:rPr>
        <w:t>, as we understand occurs in most other jurisdictions</w:t>
      </w:r>
      <w:r w:rsidR="003F109D" w:rsidRPr="003F109D">
        <w:rPr>
          <w:rStyle w:val="FootnoteReference"/>
          <w:b w:val="0"/>
        </w:rPr>
        <w:footnoteReference w:id="5"/>
      </w:r>
      <w:r w:rsidRPr="003F109D">
        <w:rPr>
          <w:b w:val="0"/>
        </w:rPr>
        <w:t xml:space="preserve">. </w:t>
      </w:r>
      <w:r w:rsidR="003B1616" w:rsidRPr="003F109D">
        <w:rPr>
          <w:b w:val="0"/>
        </w:rPr>
        <w:t>This</w:t>
      </w:r>
      <w:r w:rsidR="003B1616">
        <w:rPr>
          <w:b w:val="0"/>
        </w:rPr>
        <w:t xml:space="preserve"> raises a number of important questions:</w:t>
      </w:r>
    </w:p>
    <w:p w14:paraId="209F2177" w14:textId="55C052A6" w:rsidR="003B1616" w:rsidRDefault="003B1616" w:rsidP="00361614">
      <w:pPr>
        <w:pStyle w:val="Numberedsubparagraph"/>
        <w:numPr>
          <w:ilvl w:val="0"/>
          <w:numId w:val="31"/>
        </w:numPr>
      </w:pPr>
      <w:r>
        <w:t>W</w:t>
      </w:r>
      <w:r w:rsidR="00C371DB">
        <w:t>hat is it about the NZ gas transmission system that means a unique arr</w:t>
      </w:r>
      <w:r w:rsidR="009C3346">
        <w:t>angement for access products is</w:t>
      </w:r>
      <w:r w:rsidR="00C371DB">
        <w:t xml:space="preserve"> required?</w:t>
      </w:r>
      <w:r w:rsidR="002A1DE8">
        <w:t xml:space="preserve"> </w:t>
      </w:r>
    </w:p>
    <w:p w14:paraId="3469C019" w14:textId="23C17CD8" w:rsidR="009C3346" w:rsidRDefault="009C3346" w:rsidP="00624D72">
      <w:pPr>
        <w:pStyle w:val="Numberedsubparagraph"/>
      </w:pPr>
      <w:r>
        <w:lastRenderedPageBreak/>
        <w:t xml:space="preserve">Why, under the current Priority Rights design, must households that use gas </w:t>
      </w:r>
      <w:r w:rsidR="00B3248C">
        <w:t xml:space="preserve">in congested areas </w:t>
      </w:r>
      <w:r>
        <w:t>be potentially exposed to unmanageable risk?</w:t>
      </w:r>
    </w:p>
    <w:p w14:paraId="7B4C595A" w14:textId="50DF2C41" w:rsidR="00806979" w:rsidRDefault="00806979" w:rsidP="003B1616">
      <w:pPr>
        <w:pStyle w:val="Numberedsubparagraph"/>
      </w:pPr>
      <w:r>
        <w:t>Would it be better to adjust the Priority Rights regime to just be a long-term investment signal rather than trying to also be an operational management tool (as i</w:t>
      </w:r>
      <w:r w:rsidR="00B3248C">
        <w:t>s</w:t>
      </w:r>
      <w:r>
        <w:t xml:space="preserve"> currently the case)?</w:t>
      </w:r>
    </w:p>
    <w:p w14:paraId="04459B88" w14:textId="6969B931" w:rsidR="009C3346" w:rsidRDefault="009C3346" w:rsidP="003B1616">
      <w:pPr>
        <w:pStyle w:val="Numberedsubparagraph"/>
      </w:pPr>
      <w:r>
        <w:t>Why have market power mitigation arrangements not been included into the design to date?</w:t>
      </w:r>
    </w:p>
    <w:p w14:paraId="7D845A7F" w14:textId="791F8944" w:rsidR="009C3346" w:rsidRDefault="009C3346" w:rsidP="003B1616">
      <w:pPr>
        <w:pStyle w:val="Numberedsubparagraph"/>
      </w:pPr>
      <w:r>
        <w:t xml:space="preserve">Why do the proposed Priority Rights arrangements </w:t>
      </w:r>
      <w:r w:rsidR="00806979">
        <w:t>not better integrate with the</w:t>
      </w:r>
      <w:r>
        <w:t xml:space="preserve"> existing arrangements for managing a critical contingency?</w:t>
      </w:r>
    </w:p>
    <w:p w14:paraId="6673CEFD" w14:textId="66B0512C" w:rsidR="003B1616" w:rsidRPr="00767FBA" w:rsidRDefault="003B1616" w:rsidP="002A1DE8">
      <w:pPr>
        <w:pStyle w:val="Numberedparagraph"/>
      </w:pPr>
      <w:r>
        <w:rPr>
          <w:b w:val="0"/>
        </w:rPr>
        <w:t xml:space="preserve">With so many </w:t>
      </w:r>
      <w:r w:rsidR="00BD0A34">
        <w:rPr>
          <w:b w:val="0"/>
        </w:rPr>
        <w:t>un</w:t>
      </w:r>
      <w:r>
        <w:rPr>
          <w:b w:val="0"/>
        </w:rPr>
        <w:t>answered questions that go to the heart of the proposed design</w:t>
      </w:r>
      <w:r w:rsidR="00DA3C47">
        <w:rPr>
          <w:b w:val="0"/>
        </w:rPr>
        <w:t>,</w:t>
      </w:r>
      <w:r w:rsidR="000A42DD">
        <w:rPr>
          <w:b w:val="0"/>
        </w:rPr>
        <w:t xml:space="preserve"> we consider that the implementation of Priority Rights must be delayed to ensure that a robust solution is implemented. To that end, we are concerned that </w:t>
      </w:r>
      <w:r>
        <w:rPr>
          <w:b w:val="0"/>
        </w:rPr>
        <w:t xml:space="preserve">First Gas </w:t>
      </w:r>
      <w:r w:rsidR="000A42DD">
        <w:rPr>
          <w:b w:val="0"/>
        </w:rPr>
        <w:t>is willing to continue to</w:t>
      </w:r>
      <w:r>
        <w:rPr>
          <w:b w:val="0"/>
        </w:rPr>
        <w:t xml:space="preserve"> “push ahead” with implementin</w:t>
      </w:r>
      <w:r w:rsidR="00024D64">
        <w:rPr>
          <w:b w:val="0"/>
        </w:rPr>
        <w:t>g Priority Rights at this time</w:t>
      </w:r>
      <w:r w:rsidR="000A42DD">
        <w:rPr>
          <w:b w:val="0"/>
        </w:rPr>
        <w:t>, when there remain so many unresolved issues</w:t>
      </w:r>
      <w:r w:rsidR="00024D64">
        <w:rPr>
          <w:b w:val="0"/>
        </w:rPr>
        <w:t xml:space="preserve"> </w:t>
      </w:r>
    </w:p>
    <w:p w14:paraId="29754C68" w14:textId="70123D01" w:rsidR="00B57957" w:rsidRDefault="00897E1E" w:rsidP="00141572">
      <w:pPr>
        <w:pStyle w:val="Numberedparagraph"/>
        <w:rPr>
          <w:b w:val="0"/>
        </w:rPr>
      </w:pPr>
      <w:r>
        <w:rPr>
          <w:b w:val="0"/>
        </w:rPr>
        <w:t>One possible motivation for this</w:t>
      </w:r>
      <w:r w:rsidR="0085452A">
        <w:rPr>
          <w:b w:val="0"/>
        </w:rPr>
        <w:t xml:space="preserve"> is that First Gas wants to implement the new arrangements as it will position them </w:t>
      </w:r>
      <w:r w:rsidR="00767FBA" w:rsidRPr="00B57957">
        <w:rPr>
          <w:b w:val="0"/>
        </w:rPr>
        <w:t xml:space="preserve">well when it comes to seeking approval for funding pipeline investments, with Shippers being strongly incentivised to support any proposal put forward to the Commerce </w:t>
      </w:r>
      <w:r w:rsidR="00413DA5">
        <w:rPr>
          <w:b w:val="0"/>
        </w:rPr>
        <w:t>Commission so as to mitigate any unmanageable</w:t>
      </w:r>
      <w:r w:rsidR="00767FBA" w:rsidRPr="00B57957">
        <w:rPr>
          <w:b w:val="0"/>
        </w:rPr>
        <w:t xml:space="preserve"> risk being (or likely to be) placed on them by any congestion arising</w:t>
      </w:r>
      <w:r w:rsidR="00806979">
        <w:rPr>
          <w:rStyle w:val="FootnoteReference"/>
          <w:b w:val="0"/>
        </w:rPr>
        <w:footnoteReference w:id="6"/>
      </w:r>
      <w:r w:rsidR="00767FBA" w:rsidRPr="00B57957">
        <w:rPr>
          <w:b w:val="0"/>
        </w:rPr>
        <w:t xml:space="preserve">.  </w:t>
      </w:r>
      <w:r w:rsidR="0085452A">
        <w:rPr>
          <w:b w:val="0"/>
        </w:rPr>
        <w:t>If First Gas is wanting a long-term investment signal it would be better to explicitly design the regime to achieve this, rather than also trying to provide an operational congestion management tool.</w:t>
      </w:r>
    </w:p>
    <w:p w14:paraId="18260CFD" w14:textId="2878BEAB" w:rsidR="00B57957" w:rsidRDefault="00767FBA" w:rsidP="00141572">
      <w:pPr>
        <w:pStyle w:val="Numberedparagraph"/>
        <w:rPr>
          <w:b w:val="0"/>
        </w:rPr>
      </w:pPr>
      <w:r w:rsidRPr="00B57957">
        <w:rPr>
          <w:b w:val="0"/>
        </w:rPr>
        <w:t>The arrangements</w:t>
      </w:r>
      <w:r w:rsidR="005A6867">
        <w:rPr>
          <w:b w:val="0"/>
        </w:rPr>
        <w:t xml:space="preserve"> as currently designed</w:t>
      </w:r>
      <w:r w:rsidRPr="00B57957">
        <w:rPr>
          <w:b w:val="0"/>
        </w:rPr>
        <w:t xml:space="preserve"> appear </w:t>
      </w:r>
      <w:r w:rsidR="005A6867">
        <w:rPr>
          <w:b w:val="0"/>
        </w:rPr>
        <w:t>to result in a</w:t>
      </w:r>
      <w:r w:rsidRPr="00B57957">
        <w:rPr>
          <w:b w:val="0"/>
        </w:rPr>
        <w:t xml:space="preserve"> very one-sided outcome, with the risk of congestion being transferred to Shippers when in reality </w:t>
      </w:r>
      <w:r w:rsidR="00B57957">
        <w:rPr>
          <w:b w:val="0"/>
        </w:rPr>
        <w:t>it more appropriately should sit</w:t>
      </w:r>
      <w:r w:rsidRPr="00B57957">
        <w:rPr>
          <w:b w:val="0"/>
        </w:rPr>
        <w:t xml:space="preserve"> with First Gas</w:t>
      </w:r>
      <w:r w:rsidR="00BD0A34">
        <w:rPr>
          <w:b w:val="0"/>
        </w:rPr>
        <w:t xml:space="preserve"> as the asset owner, and system operator</w:t>
      </w:r>
      <w:r w:rsidR="00B57957">
        <w:rPr>
          <w:b w:val="0"/>
        </w:rPr>
        <w:t>, particularly with respect to supplying mass market customers</w:t>
      </w:r>
      <w:r w:rsidRPr="00B57957">
        <w:rPr>
          <w:b w:val="0"/>
        </w:rPr>
        <w:t xml:space="preserve">. There appears to be limited benefit (if any) to Shippers and end-users of the proposed new Priority Rights arrangements. </w:t>
      </w:r>
    </w:p>
    <w:p w14:paraId="54F03895" w14:textId="6BE9B55F" w:rsidR="00767FBA" w:rsidRPr="00767FBA" w:rsidRDefault="00767FBA" w:rsidP="005A6867">
      <w:pPr>
        <w:pStyle w:val="Numberedparagraph"/>
        <w:rPr>
          <w:b w:val="0"/>
        </w:rPr>
      </w:pPr>
      <w:r w:rsidRPr="00B57957">
        <w:rPr>
          <w:b w:val="0"/>
        </w:rPr>
        <w:t xml:space="preserve">We </w:t>
      </w:r>
      <w:r w:rsidR="006E6EB9">
        <w:rPr>
          <w:b w:val="0"/>
        </w:rPr>
        <w:t>consider that</w:t>
      </w:r>
      <w:r w:rsidR="00B57957" w:rsidRPr="00B57957">
        <w:rPr>
          <w:b w:val="0"/>
        </w:rPr>
        <w:t xml:space="preserve"> mass market end users </w:t>
      </w:r>
      <w:r w:rsidR="006E6EB9">
        <w:rPr>
          <w:b w:val="0"/>
        </w:rPr>
        <w:t xml:space="preserve">need </w:t>
      </w:r>
      <w:r w:rsidR="00B57957" w:rsidRPr="00B57957">
        <w:rPr>
          <w:b w:val="0"/>
        </w:rPr>
        <w:t xml:space="preserve">be excluded from the </w:t>
      </w:r>
      <w:r w:rsidR="005A6867">
        <w:rPr>
          <w:b w:val="0"/>
        </w:rPr>
        <w:t xml:space="preserve">currently proposed </w:t>
      </w:r>
      <w:r w:rsidR="00B57957" w:rsidRPr="00B57957">
        <w:rPr>
          <w:b w:val="0"/>
        </w:rPr>
        <w:t xml:space="preserve">arrangements or automatically assigned </w:t>
      </w:r>
      <w:r w:rsidRPr="00B57957">
        <w:rPr>
          <w:b w:val="0"/>
        </w:rPr>
        <w:t>f</w:t>
      </w:r>
      <w:r w:rsidR="00B57957">
        <w:rPr>
          <w:b w:val="0"/>
        </w:rPr>
        <w:t xml:space="preserve">irm transport capacity upfront. </w:t>
      </w:r>
      <w:r w:rsidR="005A6867">
        <w:rPr>
          <w:b w:val="0"/>
        </w:rPr>
        <w:t xml:space="preserve">Mass market customers </w:t>
      </w:r>
      <w:r w:rsidR="005A6867" w:rsidRPr="00B57957">
        <w:rPr>
          <w:b w:val="0"/>
        </w:rPr>
        <w:t>cannot</w:t>
      </w:r>
      <w:r w:rsidR="005A6867">
        <w:rPr>
          <w:b w:val="0"/>
        </w:rPr>
        <w:t xml:space="preserve"> be expected to</w:t>
      </w:r>
      <w:r w:rsidR="005A6867" w:rsidRPr="00B57957">
        <w:rPr>
          <w:b w:val="0"/>
        </w:rPr>
        <w:t xml:space="preserve"> respond if congestion arises</w:t>
      </w:r>
      <w:r w:rsidR="005A6867">
        <w:rPr>
          <w:b w:val="0"/>
        </w:rPr>
        <w:t xml:space="preserve"> – a point recognised clearly in the Gas Governance Critical Contingency Management Regulations 2008 (</w:t>
      </w:r>
      <w:r w:rsidR="005A6867" w:rsidRPr="00C75576">
        <w:t>CCM Regulations</w:t>
      </w:r>
      <w:r w:rsidR="005A6867" w:rsidRPr="00B57957">
        <w:rPr>
          <w:b w:val="0"/>
        </w:rPr>
        <w:t>)</w:t>
      </w:r>
      <w:r w:rsidR="005A6867">
        <w:rPr>
          <w:b w:val="0"/>
        </w:rPr>
        <w:t>.</w:t>
      </w:r>
    </w:p>
    <w:p w14:paraId="4C0E5D7C" w14:textId="5FD441D3" w:rsidR="00DA3C47" w:rsidRDefault="00DA3C47" w:rsidP="002A1DE8">
      <w:pPr>
        <w:pStyle w:val="Numberedparagraph"/>
        <w:rPr>
          <w:b w:val="0"/>
        </w:rPr>
      </w:pPr>
      <w:bookmarkStart w:id="40" w:name="_Ref495061262"/>
      <w:r w:rsidRPr="00DA3C47">
        <w:rPr>
          <w:b w:val="0"/>
        </w:rPr>
        <w:t xml:space="preserve">We remain particularly concerned that First Gas has not adequately </w:t>
      </w:r>
      <w:r w:rsidR="00413DA5">
        <w:rPr>
          <w:b w:val="0"/>
        </w:rPr>
        <w:t>been able to demonstrate the workability of the proposed Priority Rights arrangements</w:t>
      </w:r>
      <w:r w:rsidR="00C75576">
        <w:rPr>
          <w:b w:val="0"/>
        </w:rPr>
        <w:t xml:space="preserve"> to date, n</w:t>
      </w:r>
      <w:r w:rsidRPr="00DA3C47">
        <w:rPr>
          <w:b w:val="0"/>
        </w:rPr>
        <w:t xml:space="preserve">or has First </w:t>
      </w:r>
      <w:r w:rsidR="00413DA5">
        <w:rPr>
          <w:b w:val="0"/>
        </w:rPr>
        <w:t>Gas addressed the following issues</w:t>
      </w:r>
      <w:r w:rsidR="0028699D">
        <w:rPr>
          <w:b w:val="0"/>
        </w:rPr>
        <w:t xml:space="preserve"> with the proposed arrangements</w:t>
      </w:r>
      <w:r w:rsidR="00413DA5">
        <w:rPr>
          <w:b w:val="0"/>
        </w:rPr>
        <w:t>:</w:t>
      </w:r>
      <w:bookmarkEnd w:id="40"/>
    </w:p>
    <w:p w14:paraId="58D7B16C" w14:textId="0BE715E2" w:rsidR="00DA3C47" w:rsidRDefault="00443BE2" w:rsidP="00361614">
      <w:pPr>
        <w:pStyle w:val="Numberedsubparagraph"/>
        <w:numPr>
          <w:ilvl w:val="0"/>
          <w:numId w:val="32"/>
        </w:numPr>
      </w:pPr>
      <w:r>
        <w:t>Assign</w:t>
      </w:r>
      <w:r w:rsidR="005A6867">
        <w:t xml:space="preserve">s </w:t>
      </w:r>
      <w:r w:rsidR="00DA3C47">
        <w:t>risk to parties not best placed to manage that risk;</w:t>
      </w:r>
    </w:p>
    <w:p w14:paraId="22B661D3" w14:textId="20016A03" w:rsidR="006C5EDF" w:rsidRDefault="005A6867" w:rsidP="00806979">
      <w:pPr>
        <w:pStyle w:val="Numberedsubparagraph"/>
        <w:numPr>
          <w:ilvl w:val="0"/>
          <w:numId w:val="32"/>
        </w:numPr>
      </w:pPr>
      <w:r>
        <w:t xml:space="preserve">Creates </w:t>
      </w:r>
      <w:r w:rsidR="00DA3C47">
        <w:t>a product t</w:t>
      </w:r>
      <w:r w:rsidR="00A35B18">
        <w:t xml:space="preserve">hat Shippers must pay for in most trading </w:t>
      </w:r>
      <w:r w:rsidR="00DA3C47">
        <w:t xml:space="preserve">periods, but which will not be available when </w:t>
      </w:r>
      <w:r w:rsidR="003A262B">
        <w:t>it would be the most valuable</w:t>
      </w:r>
      <w:r w:rsidR="00A605FB">
        <w:rPr>
          <w:rStyle w:val="FootnoteReference"/>
        </w:rPr>
        <w:footnoteReference w:id="7"/>
      </w:r>
      <w:r w:rsidR="00DA3C47">
        <w:t xml:space="preserve">, i.e. during </w:t>
      </w:r>
      <w:r w:rsidR="00624D72">
        <w:t xml:space="preserve">Critical </w:t>
      </w:r>
      <w:r w:rsidR="00DA3C47">
        <w:t>C</w:t>
      </w:r>
      <w:r w:rsidR="00624D72">
        <w:t>ontingency, Force Majeure</w:t>
      </w:r>
      <w:r w:rsidR="00DA3C47">
        <w:t xml:space="preserve"> and </w:t>
      </w:r>
      <w:r w:rsidR="00624D72">
        <w:t>Emergency events</w:t>
      </w:r>
      <w:r w:rsidR="00DA3C47">
        <w:rPr>
          <w:rStyle w:val="FootnoteReference"/>
        </w:rPr>
        <w:footnoteReference w:id="8"/>
      </w:r>
      <w:r w:rsidR="00DA3C47">
        <w:t>;</w:t>
      </w:r>
      <w:r w:rsidR="006C5EDF">
        <w:t xml:space="preserve"> </w:t>
      </w:r>
    </w:p>
    <w:p w14:paraId="181B717E" w14:textId="5FF96B4D" w:rsidR="00DA3C47" w:rsidRDefault="005A6867" w:rsidP="00361614">
      <w:pPr>
        <w:pStyle w:val="Numberedsubparagraph"/>
        <w:numPr>
          <w:ilvl w:val="0"/>
          <w:numId w:val="32"/>
        </w:numPr>
      </w:pPr>
      <w:r>
        <w:lastRenderedPageBreak/>
        <w:t xml:space="preserve">Creates </w:t>
      </w:r>
      <w:r w:rsidR="00DA3C47">
        <w:t>arrangements which continue to be largely uncertain, including with respect to:</w:t>
      </w:r>
    </w:p>
    <w:p w14:paraId="2158226B" w14:textId="585DDC64" w:rsidR="00DA3C47" w:rsidRDefault="0028699D" w:rsidP="00361614">
      <w:pPr>
        <w:pStyle w:val="Numberedsubparagraph"/>
        <w:numPr>
          <w:ilvl w:val="1"/>
          <w:numId w:val="32"/>
        </w:numPr>
      </w:pPr>
      <w:r>
        <w:t>the timing of when</w:t>
      </w:r>
      <w:r w:rsidR="00DA3C47">
        <w:t xml:space="preserve"> Priority Rights can be called on the day;</w:t>
      </w:r>
    </w:p>
    <w:p w14:paraId="0CD9AAB0" w14:textId="71D4A3C0" w:rsidR="00DA3C47" w:rsidRDefault="00DA3C47" w:rsidP="00361614">
      <w:pPr>
        <w:pStyle w:val="Numberedsubparagraph"/>
        <w:numPr>
          <w:ilvl w:val="1"/>
          <w:numId w:val="32"/>
        </w:numPr>
      </w:pPr>
      <w:r>
        <w:t xml:space="preserve">the timing of when Interruptible </w:t>
      </w:r>
      <w:r w:rsidR="00C232A7">
        <w:t>Agreements</w:t>
      </w:r>
      <w:r>
        <w:t xml:space="preserve"> can be entered into vs. a Priority Rights auction being held; </w:t>
      </w:r>
    </w:p>
    <w:p w14:paraId="62C5F5FD" w14:textId="602E9F13" w:rsidR="00DA3C47" w:rsidRDefault="00DA3C47" w:rsidP="00361614">
      <w:pPr>
        <w:pStyle w:val="Numberedsubparagraph"/>
        <w:numPr>
          <w:ilvl w:val="1"/>
          <w:numId w:val="32"/>
        </w:numPr>
      </w:pPr>
      <w:r>
        <w:t>how the auction arrangements will operate;</w:t>
      </w:r>
    </w:p>
    <w:p w14:paraId="5C57695A" w14:textId="66AE6351" w:rsidR="00F77910" w:rsidRDefault="005A6867" w:rsidP="006C5EDF">
      <w:pPr>
        <w:pStyle w:val="Numberedsubparagraph"/>
        <w:numPr>
          <w:ilvl w:val="0"/>
          <w:numId w:val="32"/>
        </w:numPr>
      </w:pPr>
      <w:r>
        <w:t xml:space="preserve">Creates </w:t>
      </w:r>
      <w:r w:rsidR="00DA3C47">
        <w:t>arrangements that will</w:t>
      </w:r>
      <w:r w:rsidR="00B57957">
        <w:t xml:space="preserve"> potentially</w:t>
      </w:r>
      <w:r w:rsidR="00DA3C47">
        <w:t xml:space="preserve"> re</w:t>
      </w:r>
      <w:r w:rsidR="00B57957">
        <w:t>sult in competition issues arising</w:t>
      </w:r>
      <w:r w:rsidR="00A35B18">
        <w:t>.</w:t>
      </w:r>
    </w:p>
    <w:p w14:paraId="6FBB6DE4" w14:textId="25172E7E" w:rsidR="00B57957" w:rsidRPr="00B57957" w:rsidRDefault="00B57957" w:rsidP="00B57957">
      <w:pPr>
        <w:pStyle w:val="Numberedparagraph"/>
        <w:rPr>
          <w:b w:val="0"/>
        </w:rPr>
      </w:pPr>
      <w:r w:rsidRPr="00B57957">
        <w:rPr>
          <w:b w:val="0"/>
        </w:rPr>
        <w:t>To assist us in considering these important matters, we</w:t>
      </w:r>
      <w:r w:rsidR="0028699D">
        <w:rPr>
          <w:b w:val="0"/>
        </w:rPr>
        <w:t xml:space="preserve"> </w:t>
      </w:r>
      <w:r w:rsidR="00335535">
        <w:rPr>
          <w:b w:val="0"/>
        </w:rPr>
        <w:t>engaged The Lantau Group (</w:t>
      </w:r>
      <w:r w:rsidR="0028699D">
        <w:t>TLG</w:t>
      </w:r>
      <w:r w:rsidR="00335535">
        <w:rPr>
          <w:b w:val="0"/>
        </w:rPr>
        <w:t>)</w:t>
      </w:r>
      <w:r w:rsidRPr="00B57957">
        <w:rPr>
          <w:b w:val="0"/>
        </w:rPr>
        <w:t xml:space="preserve"> to provide their expert views on the proposed design for access products.</w:t>
      </w:r>
      <w:r w:rsidR="00D1030E">
        <w:rPr>
          <w:b w:val="0"/>
        </w:rPr>
        <w:t xml:space="preserve"> </w:t>
      </w:r>
      <w:r w:rsidRPr="00B57957">
        <w:rPr>
          <w:b w:val="0"/>
        </w:rPr>
        <w:t>The advic</w:t>
      </w:r>
      <w:r w:rsidR="009F2BE5">
        <w:rPr>
          <w:b w:val="0"/>
        </w:rPr>
        <w:t>e of TLG is presented</w:t>
      </w:r>
      <w:r w:rsidR="00543630">
        <w:rPr>
          <w:b w:val="0"/>
        </w:rPr>
        <w:t xml:space="preserve"> in</w:t>
      </w:r>
      <w:r w:rsidR="009F2BE5">
        <w:rPr>
          <w:b w:val="0"/>
        </w:rPr>
        <w:t xml:space="preserve"> Appendix A</w:t>
      </w:r>
      <w:r w:rsidRPr="00B57957">
        <w:rPr>
          <w:b w:val="0"/>
        </w:rPr>
        <w:t xml:space="preserve"> and raises a number of important design matters that require consideration including:</w:t>
      </w:r>
    </w:p>
    <w:p w14:paraId="6C30B5D7" w14:textId="6FB6B5DA" w:rsidR="00D1030E" w:rsidRDefault="00D1030E" w:rsidP="00AA5D94">
      <w:pPr>
        <w:pStyle w:val="Numberedsubparagraph"/>
        <w:numPr>
          <w:ilvl w:val="0"/>
          <w:numId w:val="53"/>
        </w:numPr>
      </w:pPr>
      <w:r w:rsidRPr="00B85517">
        <w:t>The proposed Priority Rights regime ignores the fact that there already existing a priority rights regime under the CCM Regulations;</w:t>
      </w:r>
    </w:p>
    <w:p w14:paraId="5DD99050" w14:textId="3A960898" w:rsidR="00D1030E" w:rsidRPr="00B85517" w:rsidRDefault="00D1030E" w:rsidP="00361614">
      <w:pPr>
        <w:pStyle w:val="Numberedsubparagraph"/>
      </w:pPr>
      <w:r w:rsidRPr="00B85517">
        <w:t>That firmer transmission capacity is only available through Priority Rights</w:t>
      </w:r>
      <w:r w:rsidR="00B85517" w:rsidRPr="00B85517">
        <w:t xml:space="preserve"> for six months. It is much more common across gas networks globally for firmness to be available for longer periods of time;</w:t>
      </w:r>
    </w:p>
    <w:p w14:paraId="68ADECC3" w14:textId="69EDAB82" w:rsidR="00D1030E" w:rsidRPr="00B85517" w:rsidRDefault="00D1030E" w:rsidP="00361614">
      <w:pPr>
        <w:pStyle w:val="Numberedsubparagraph"/>
      </w:pPr>
      <w:r w:rsidRPr="00B85517">
        <w:t>A lack of clarity as to whether the administrative costs of running and participating in an auction are have been adequately optimised;</w:t>
      </w:r>
    </w:p>
    <w:p w14:paraId="21957A2B" w14:textId="43B016D6" w:rsidR="00D1030E" w:rsidRPr="00B85517" w:rsidRDefault="00066856" w:rsidP="00361614">
      <w:pPr>
        <w:pStyle w:val="Numberedsubparagraph"/>
      </w:pPr>
      <w:r>
        <w:t>First Gas can take actions that created the need for Priority Rights (or increase their value) but take no risk in relation to providing firmness for any customers for any real material length of time;</w:t>
      </w:r>
    </w:p>
    <w:p w14:paraId="17EAB3D1" w14:textId="763A31AA" w:rsidR="00B57957" w:rsidRDefault="00066856" w:rsidP="00361614">
      <w:pPr>
        <w:pStyle w:val="Numberedsubparagraph"/>
      </w:pPr>
      <w:r>
        <w:t>The lack of clarity around how the auction process will work and the potential dynamics that this may introduce; and</w:t>
      </w:r>
    </w:p>
    <w:p w14:paraId="1CB3E488" w14:textId="77777777" w:rsidR="00AA5D94" w:rsidRDefault="00066856" w:rsidP="008008CD">
      <w:pPr>
        <w:pStyle w:val="Numberedsubparagraph"/>
      </w:pPr>
      <w:r>
        <w:t>Transparency requirements to ensure efficient decision making needs consideration.</w:t>
      </w:r>
    </w:p>
    <w:p w14:paraId="48BDF4F9" w14:textId="38DC1682" w:rsidR="00DD0806" w:rsidRPr="00AA5D94" w:rsidRDefault="00AA5D94" w:rsidP="00AA5D94">
      <w:pPr>
        <w:pStyle w:val="Numberedparagraph"/>
        <w:numPr>
          <w:ilvl w:val="0"/>
          <w:numId w:val="0"/>
        </w:numPr>
        <w:ind w:left="992"/>
      </w:pPr>
      <w:r w:rsidRPr="00AA5D94">
        <w:rPr>
          <w:b w:val="0"/>
        </w:rPr>
        <w:t>Note</w:t>
      </w:r>
      <w:r w:rsidR="00A74B33">
        <w:rPr>
          <w:b w:val="0"/>
        </w:rPr>
        <w:t>: T</w:t>
      </w:r>
      <w:r w:rsidRPr="00AA5D94">
        <w:rPr>
          <w:b w:val="0"/>
        </w:rPr>
        <w:t>his is not intended to be a comprehensive list but rather capture some of the “flavour” of TLG’s report (Appendix A). Please refer to Appendix A directly to better understand the design matters that need consideration</w:t>
      </w:r>
      <w:r w:rsidRPr="00AA5D94">
        <w:t xml:space="preserve">.   </w:t>
      </w:r>
    </w:p>
    <w:p w14:paraId="7D71ABF3" w14:textId="040CF806" w:rsidR="00DD0806" w:rsidRDefault="00DD0806" w:rsidP="00DD0806">
      <w:pPr>
        <w:pStyle w:val="Numberedparagraph"/>
        <w:rPr>
          <w:b w:val="0"/>
        </w:rPr>
      </w:pPr>
      <w:r w:rsidRPr="00DD0806">
        <w:rPr>
          <w:b w:val="0"/>
        </w:rPr>
        <w:t>TLG notes that the most problematic aspects of the Priority Rights regime concern why exactly it needs to be as it has been proposed. TLG recommend</w:t>
      </w:r>
      <w:r w:rsidR="001F446A">
        <w:rPr>
          <w:rStyle w:val="FootnoteReference"/>
          <w:b w:val="0"/>
        </w:rPr>
        <w:footnoteReference w:id="9"/>
      </w:r>
      <w:r w:rsidR="001F446A">
        <w:rPr>
          <w:b w:val="0"/>
        </w:rPr>
        <w:t>:</w:t>
      </w:r>
      <w:r>
        <w:rPr>
          <w:b w:val="0"/>
        </w:rPr>
        <w:t xml:space="preserve"> </w:t>
      </w:r>
    </w:p>
    <w:p w14:paraId="08364D4D" w14:textId="4D62E441" w:rsidR="00DD0806" w:rsidRPr="00DD0806" w:rsidRDefault="001E2B5D" w:rsidP="0060741B">
      <w:pPr>
        <w:pStyle w:val="Numberedparagraph"/>
        <w:numPr>
          <w:ilvl w:val="0"/>
          <w:numId w:val="0"/>
        </w:numPr>
        <w:ind w:left="992" w:right="566" w:firstLine="360"/>
        <w:rPr>
          <w:b w:val="0"/>
        </w:rPr>
      </w:pPr>
      <w:r>
        <w:rPr>
          <w:b w:val="0"/>
        </w:rPr>
        <w:t>“</w:t>
      </w:r>
      <w:r w:rsidRPr="001E2B5D">
        <w:rPr>
          <w:b w:val="0"/>
          <w:i/>
        </w:rPr>
        <w:t>A</w:t>
      </w:r>
      <w:r w:rsidR="00DD0806">
        <w:rPr>
          <w:b w:val="0"/>
          <w:i/>
        </w:rPr>
        <w:t xml:space="preserve">t least </w:t>
      </w:r>
      <w:r w:rsidR="00DD0806" w:rsidRPr="00DD0806">
        <w:rPr>
          <w:b w:val="0"/>
          <w:i/>
        </w:rPr>
        <w:t xml:space="preserve">three key enhancements </w:t>
      </w:r>
      <w:r w:rsidR="00DD0806">
        <w:rPr>
          <w:b w:val="0"/>
          <w:i/>
        </w:rPr>
        <w:t>merit attention</w:t>
      </w:r>
      <w:r w:rsidR="00DD0806" w:rsidRPr="00DD0806">
        <w:rPr>
          <w:b w:val="0"/>
          <w:i/>
        </w:rPr>
        <w:t>:</w:t>
      </w:r>
    </w:p>
    <w:p w14:paraId="0DC5CCF2" w14:textId="3261F60D" w:rsidR="00DD0806" w:rsidRPr="00DD0806" w:rsidRDefault="00DD0806" w:rsidP="0060741B">
      <w:pPr>
        <w:pStyle w:val="Numberedsubparagraph"/>
        <w:numPr>
          <w:ilvl w:val="1"/>
          <w:numId w:val="33"/>
        </w:numPr>
        <w:ind w:left="1712" w:right="566"/>
        <w:rPr>
          <w:i/>
        </w:rPr>
      </w:pPr>
      <w:r w:rsidRPr="00DD0806">
        <w:rPr>
          <w:i/>
        </w:rPr>
        <w:t>Band 6 and 7 users should have default Priority Rights as there is no reason to expose them to risks that cannot be managed, particularly in a regime that is novel, new, and potentially prone to teething issues or competition risks;</w:t>
      </w:r>
    </w:p>
    <w:p w14:paraId="78540706" w14:textId="7516EE7F" w:rsidR="00DD0806" w:rsidRPr="00DD0806" w:rsidRDefault="00DD0806" w:rsidP="0060741B">
      <w:pPr>
        <w:pStyle w:val="Numberedsubparagraph"/>
        <w:numPr>
          <w:ilvl w:val="1"/>
          <w:numId w:val="49"/>
        </w:numPr>
        <w:ind w:left="1712" w:right="566"/>
        <w:rPr>
          <w:i/>
        </w:rPr>
      </w:pPr>
      <w:r w:rsidRPr="00DD0806">
        <w:rPr>
          <w:i/>
        </w:rPr>
        <w:t>In fact, the question could be turned on its head and start with the presumption of firm access and then design the PR regime as a Priority Reduction regime to surrender firm rights for a period.  As the price paid to gain flexibility increases, it provides both clear operational and investment signalling – much more clearly than can be inferred from the PR regime at this point;</w:t>
      </w:r>
    </w:p>
    <w:p w14:paraId="4A9E6A57" w14:textId="51AF7E0D" w:rsidR="00DD0806" w:rsidRPr="00DD0806" w:rsidRDefault="00DD0806" w:rsidP="0060741B">
      <w:pPr>
        <w:pStyle w:val="Numberedsubparagraph"/>
        <w:numPr>
          <w:ilvl w:val="1"/>
          <w:numId w:val="49"/>
        </w:numPr>
        <w:ind w:left="1712" w:right="566"/>
        <w:rPr>
          <w:i/>
        </w:rPr>
      </w:pPr>
      <w:r w:rsidRPr="00DD0806">
        <w:rPr>
          <w:i/>
        </w:rPr>
        <w:t>The linkage between distribution expansion and transmission network congestion should be as clear as possible as there are embedded assumptions that may not have been fully vetted or considered in terms of who pays.</w:t>
      </w:r>
      <w:r>
        <w:rPr>
          <w:i/>
        </w:rPr>
        <w:t>”</w:t>
      </w:r>
    </w:p>
    <w:p w14:paraId="454DDACF" w14:textId="6BF13FBC" w:rsidR="00A42389" w:rsidRPr="00DD0806" w:rsidRDefault="00DD0806" w:rsidP="00DD0806">
      <w:pPr>
        <w:pStyle w:val="Numberedparagraph"/>
        <w:rPr>
          <w:b w:val="0"/>
        </w:rPr>
      </w:pPr>
      <w:r w:rsidRPr="00DD0806">
        <w:rPr>
          <w:b w:val="0"/>
        </w:rPr>
        <w:t>T</w:t>
      </w:r>
      <w:r w:rsidR="00B52728" w:rsidRPr="00DD0806">
        <w:rPr>
          <w:b w:val="0"/>
        </w:rPr>
        <w:t>he</w:t>
      </w:r>
      <w:r w:rsidR="0028699D" w:rsidRPr="00DD0806">
        <w:rPr>
          <w:b w:val="0"/>
        </w:rPr>
        <w:t xml:space="preserve"> matters raised by TLG require </w:t>
      </w:r>
      <w:r w:rsidR="00B52728" w:rsidRPr="00DD0806">
        <w:rPr>
          <w:b w:val="0"/>
        </w:rPr>
        <w:t>careful consideration</w:t>
      </w:r>
      <w:r w:rsidR="00A42389" w:rsidRPr="00DD0806">
        <w:rPr>
          <w:b w:val="0"/>
        </w:rPr>
        <w:t xml:space="preserve"> and this will </w:t>
      </w:r>
      <w:r>
        <w:rPr>
          <w:b w:val="0"/>
        </w:rPr>
        <w:t xml:space="preserve">require </w:t>
      </w:r>
      <w:r w:rsidR="00A42389" w:rsidRPr="00DD0806">
        <w:rPr>
          <w:b w:val="0"/>
        </w:rPr>
        <w:t>more time</w:t>
      </w:r>
      <w:r w:rsidR="000A42DD" w:rsidRPr="00DD0806">
        <w:rPr>
          <w:b w:val="0"/>
        </w:rPr>
        <w:t xml:space="preserve">. </w:t>
      </w:r>
      <w:r w:rsidR="00A42389" w:rsidRPr="00DD0806">
        <w:rPr>
          <w:b w:val="0"/>
        </w:rPr>
        <w:t>TLG</w:t>
      </w:r>
      <w:r w:rsidR="001F446A">
        <w:rPr>
          <w:b w:val="0"/>
        </w:rPr>
        <w:t xml:space="preserve"> </w:t>
      </w:r>
      <w:r w:rsidR="00A42389" w:rsidRPr="00DD0806">
        <w:rPr>
          <w:b w:val="0"/>
        </w:rPr>
        <w:t>notes</w:t>
      </w:r>
      <w:r w:rsidR="001F446A" w:rsidRPr="00DD0806">
        <w:rPr>
          <w:rStyle w:val="FootnoteReference"/>
          <w:b w:val="0"/>
        </w:rPr>
        <w:footnoteReference w:id="10"/>
      </w:r>
      <w:r w:rsidR="00A42389" w:rsidRPr="00DD0806">
        <w:rPr>
          <w:b w:val="0"/>
        </w:rPr>
        <w:t>:</w:t>
      </w:r>
    </w:p>
    <w:p w14:paraId="4CDDF7D6" w14:textId="27D327FE" w:rsidR="00A42389" w:rsidRPr="00A42389" w:rsidRDefault="00A42389" w:rsidP="0060741B">
      <w:pPr>
        <w:pStyle w:val="Numberedparagraph"/>
        <w:numPr>
          <w:ilvl w:val="0"/>
          <w:numId w:val="0"/>
        </w:numPr>
        <w:ind w:left="1440" w:right="566"/>
        <w:rPr>
          <w:b w:val="0"/>
          <w:i/>
        </w:rPr>
      </w:pPr>
      <w:r w:rsidRPr="00A42389">
        <w:rPr>
          <w:b w:val="0"/>
          <w:i/>
        </w:rPr>
        <w:t>“Yet, the details of the proposed Priority Rights regime are insufficiently clear and, being idiosyncratic to New Zealand, without obvious precedent on which to draw comforting inferences or insights. Consequently, it will (and should) take time to evaluate. It may also mean that a different mechanism is needed or that material changes are advised. At least some are suggested below. But, most importantly, more time is needed than current schedules anticipate, as there is no way in a few short months to close the gap between good intention and robust solution which also avoiding unintended consequences.”</w:t>
      </w:r>
      <w:r w:rsidR="00BF5E1D">
        <w:rPr>
          <w:b w:val="0"/>
          <w:i/>
        </w:rPr>
        <w:t xml:space="preserve"> </w:t>
      </w:r>
    </w:p>
    <w:p w14:paraId="108F08FB" w14:textId="2C2D9518" w:rsidR="00B52728" w:rsidRDefault="000A42DD" w:rsidP="00FD5964">
      <w:pPr>
        <w:pStyle w:val="Numberedparagraph"/>
        <w:rPr>
          <w:b w:val="0"/>
        </w:rPr>
      </w:pPr>
      <w:r>
        <w:rPr>
          <w:b w:val="0"/>
        </w:rPr>
        <w:t xml:space="preserve">Accordingly, </w:t>
      </w:r>
      <w:r w:rsidR="00B52728" w:rsidRPr="0028699D">
        <w:rPr>
          <w:b w:val="0"/>
        </w:rPr>
        <w:t>we re</w:t>
      </w:r>
      <w:r w:rsidR="000712F4">
        <w:rPr>
          <w:b w:val="0"/>
        </w:rPr>
        <w:t>quest</w:t>
      </w:r>
      <w:r w:rsidR="00B52728" w:rsidRPr="0028699D">
        <w:rPr>
          <w:b w:val="0"/>
        </w:rPr>
        <w:t xml:space="preserve"> that First Gas removes the Priority Rights arrangements fro</w:t>
      </w:r>
      <w:r w:rsidR="0028699D" w:rsidRPr="0028699D">
        <w:rPr>
          <w:b w:val="0"/>
        </w:rPr>
        <w:t xml:space="preserve">m the current proposed </w:t>
      </w:r>
      <w:r w:rsidR="00AF7770">
        <w:rPr>
          <w:b w:val="0"/>
        </w:rPr>
        <w:t>GTAC</w:t>
      </w:r>
      <w:r w:rsidR="0028699D" w:rsidRPr="0028699D">
        <w:rPr>
          <w:b w:val="0"/>
        </w:rPr>
        <w:t xml:space="preserve"> (refer</w:t>
      </w:r>
      <w:r w:rsidR="005905CA">
        <w:rPr>
          <w:b w:val="0"/>
        </w:rPr>
        <w:t xml:space="preserve"> also</w:t>
      </w:r>
      <w:r w:rsidR="0028699D" w:rsidRPr="0028699D">
        <w:rPr>
          <w:b w:val="0"/>
        </w:rPr>
        <w:t xml:space="preserve"> to</w:t>
      </w:r>
      <w:r w:rsidR="00B52728" w:rsidRPr="0028699D">
        <w:rPr>
          <w:b w:val="0"/>
        </w:rPr>
        <w:t xml:space="preserve"> paragraphs </w:t>
      </w:r>
      <w:r w:rsidR="00B52728" w:rsidRPr="0028699D">
        <w:rPr>
          <w:b w:val="0"/>
        </w:rPr>
        <w:fldChar w:fldCharType="begin"/>
      </w:r>
      <w:r w:rsidR="00B52728" w:rsidRPr="0028699D">
        <w:rPr>
          <w:b w:val="0"/>
        </w:rPr>
        <w:instrText xml:space="preserve"> REF _Ref494289109 \r \h  \* MERGEFORMAT </w:instrText>
      </w:r>
      <w:r w:rsidR="00B52728" w:rsidRPr="0028699D">
        <w:rPr>
          <w:b w:val="0"/>
        </w:rPr>
      </w:r>
      <w:r w:rsidR="00B52728" w:rsidRPr="0028699D">
        <w:rPr>
          <w:b w:val="0"/>
        </w:rPr>
        <w:fldChar w:fldCharType="separate"/>
      </w:r>
      <w:r w:rsidR="008008CD">
        <w:rPr>
          <w:b w:val="0"/>
        </w:rPr>
        <w:t>2.1.9</w:t>
      </w:r>
      <w:r w:rsidR="00B52728" w:rsidRPr="0028699D">
        <w:rPr>
          <w:b w:val="0"/>
        </w:rPr>
        <w:fldChar w:fldCharType="end"/>
      </w:r>
      <w:r w:rsidR="00B52728" w:rsidRPr="0028699D">
        <w:rPr>
          <w:b w:val="0"/>
        </w:rPr>
        <w:t xml:space="preserve"> and </w:t>
      </w:r>
      <w:r w:rsidR="00B52728" w:rsidRPr="0028699D">
        <w:rPr>
          <w:b w:val="0"/>
        </w:rPr>
        <w:fldChar w:fldCharType="begin"/>
      </w:r>
      <w:r w:rsidR="00B52728" w:rsidRPr="0028699D">
        <w:rPr>
          <w:b w:val="0"/>
        </w:rPr>
        <w:instrText xml:space="preserve"> REF _Ref494289059 \r \h  \* MERGEFORMAT </w:instrText>
      </w:r>
      <w:r w:rsidR="00B52728" w:rsidRPr="0028699D">
        <w:rPr>
          <w:b w:val="0"/>
        </w:rPr>
      </w:r>
      <w:r w:rsidR="00B52728" w:rsidRPr="0028699D">
        <w:rPr>
          <w:b w:val="0"/>
        </w:rPr>
        <w:fldChar w:fldCharType="separate"/>
      </w:r>
      <w:r w:rsidR="008008CD">
        <w:rPr>
          <w:b w:val="0"/>
        </w:rPr>
        <w:t>2.1.10</w:t>
      </w:r>
      <w:r w:rsidR="00B52728" w:rsidRPr="0028699D">
        <w:rPr>
          <w:b w:val="0"/>
        </w:rPr>
        <w:fldChar w:fldCharType="end"/>
      </w:r>
      <w:r w:rsidR="0028699D" w:rsidRPr="0028699D">
        <w:rPr>
          <w:b w:val="0"/>
        </w:rPr>
        <w:t>)</w:t>
      </w:r>
      <w:r w:rsidR="00B52728" w:rsidRPr="0028699D">
        <w:rPr>
          <w:b w:val="0"/>
        </w:rPr>
        <w:t>.</w:t>
      </w:r>
      <w:r w:rsidR="0028699D">
        <w:rPr>
          <w:b w:val="0"/>
        </w:rPr>
        <w:t xml:space="preserve"> </w:t>
      </w:r>
      <w:r w:rsidR="00B52728" w:rsidRPr="0028699D">
        <w:rPr>
          <w:b w:val="0"/>
        </w:rPr>
        <w:t>Based on the discussion during the 28 September workshop, we understand that this will not cause any issues with respect to implementing a new IT system. Likewise</w:t>
      </w:r>
      <w:r w:rsidR="0028699D" w:rsidRPr="0028699D">
        <w:rPr>
          <w:b w:val="0"/>
        </w:rPr>
        <w:t>,</w:t>
      </w:r>
      <w:r w:rsidR="00B52728" w:rsidRPr="0028699D">
        <w:rPr>
          <w:b w:val="0"/>
        </w:rPr>
        <w:t xml:space="preserve"> based on the most recently published 2017 Asset Management Plan for First Gas, we do</w:t>
      </w:r>
      <w:r w:rsidR="00897E1E">
        <w:rPr>
          <w:b w:val="0"/>
        </w:rPr>
        <w:t xml:space="preserve"> </w:t>
      </w:r>
      <w:r w:rsidR="00B52728" w:rsidRPr="0028699D">
        <w:rPr>
          <w:b w:val="0"/>
        </w:rPr>
        <w:t>n</w:t>
      </w:r>
      <w:r w:rsidR="00897E1E">
        <w:rPr>
          <w:b w:val="0"/>
        </w:rPr>
        <w:t>o</w:t>
      </w:r>
      <w:r w:rsidR="00B52728" w:rsidRPr="0028699D">
        <w:rPr>
          <w:b w:val="0"/>
        </w:rPr>
        <w:t xml:space="preserve">t consider there is likely to be any congestion arising in the short-term that requires any type of design arrangement to be included within the </w:t>
      </w:r>
      <w:r w:rsidR="00AF7770">
        <w:rPr>
          <w:b w:val="0"/>
        </w:rPr>
        <w:t>GTAC</w:t>
      </w:r>
      <w:r w:rsidR="00B52728" w:rsidRPr="0028699D">
        <w:rPr>
          <w:b w:val="0"/>
        </w:rPr>
        <w:t xml:space="preserve"> so as to manage that congestion. </w:t>
      </w:r>
    </w:p>
    <w:p w14:paraId="394F2DC1" w14:textId="10D7D9A3" w:rsidR="006E6EB9" w:rsidRPr="0028699D" w:rsidRDefault="006E6EB9" w:rsidP="00FD5964">
      <w:pPr>
        <w:pStyle w:val="Numberedparagraph"/>
        <w:rPr>
          <w:b w:val="0"/>
        </w:rPr>
      </w:pPr>
      <w:r>
        <w:rPr>
          <w:b w:val="0"/>
        </w:rPr>
        <w:t xml:space="preserve">The </w:t>
      </w:r>
      <w:r w:rsidRPr="006E6EB9">
        <w:rPr>
          <w:b w:val="0"/>
        </w:rPr>
        <w:t xml:space="preserve">remainder of this section further explores the points raised in paragraph </w:t>
      </w:r>
      <w:r w:rsidRPr="006E6EB9">
        <w:rPr>
          <w:b w:val="0"/>
        </w:rPr>
        <w:fldChar w:fldCharType="begin"/>
      </w:r>
      <w:r w:rsidRPr="006E6EB9">
        <w:rPr>
          <w:b w:val="0"/>
        </w:rPr>
        <w:instrText xml:space="preserve"> REF _Ref495061262 \r \h  \* MERGEFORMAT </w:instrText>
      </w:r>
      <w:r w:rsidRPr="006E6EB9">
        <w:rPr>
          <w:b w:val="0"/>
        </w:rPr>
      </w:r>
      <w:r w:rsidRPr="006E6EB9">
        <w:rPr>
          <w:b w:val="0"/>
        </w:rPr>
        <w:fldChar w:fldCharType="separate"/>
      </w:r>
      <w:r w:rsidR="008008CD">
        <w:rPr>
          <w:b w:val="0"/>
        </w:rPr>
        <w:t>2.3.7</w:t>
      </w:r>
      <w:r w:rsidRPr="006E6EB9">
        <w:rPr>
          <w:b w:val="0"/>
        </w:rPr>
        <w:fldChar w:fldCharType="end"/>
      </w:r>
      <w:r w:rsidRPr="006E6EB9">
        <w:rPr>
          <w:b w:val="0"/>
        </w:rPr>
        <w:t>, the exception being the competition issues which could arise (paragraph 2.3.7(d))</w:t>
      </w:r>
      <w:r w:rsidR="00766AEB">
        <w:rPr>
          <w:b w:val="0"/>
        </w:rPr>
        <w:t>.</w:t>
      </w:r>
      <w:r w:rsidRPr="006E6EB9">
        <w:rPr>
          <w:b w:val="0"/>
        </w:rPr>
        <w:t xml:space="preserve"> </w:t>
      </w:r>
      <w:r w:rsidR="00766AEB">
        <w:rPr>
          <w:b w:val="0"/>
        </w:rPr>
        <w:t>This</w:t>
      </w:r>
      <w:r w:rsidRPr="006E6EB9">
        <w:rPr>
          <w:b w:val="0"/>
        </w:rPr>
        <w:t xml:space="preserve"> is covered in section </w:t>
      </w:r>
      <w:r w:rsidRPr="006E6EB9">
        <w:rPr>
          <w:b w:val="0"/>
        </w:rPr>
        <w:fldChar w:fldCharType="begin"/>
      </w:r>
      <w:r w:rsidRPr="006E6EB9">
        <w:rPr>
          <w:b w:val="0"/>
        </w:rPr>
        <w:instrText xml:space="preserve"> REF _Ref494706064 \r \h  \* MERGEFORMAT </w:instrText>
      </w:r>
      <w:r w:rsidRPr="006E6EB9">
        <w:rPr>
          <w:b w:val="0"/>
        </w:rPr>
      </w:r>
      <w:r w:rsidRPr="006E6EB9">
        <w:rPr>
          <w:b w:val="0"/>
        </w:rPr>
        <w:fldChar w:fldCharType="separate"/>
      </w:r>
      <w:r w:rsidR="008008CD">
        <w:rPr>
          <w:b w:val="0"/>
        </w:rPr>
        <w:t>2.4</w:t>
      </w:r>
      <w:r w:rsidRPr="006E6EB9">
        <w:rPr>
          <w:b w:val="0"/>
        </w:rPr>
        <w:fldChar w:fldCharType="end"/>
      </w:r>
      <w:r w:rsidRPr="006E6EB9">
        <w:rPr>
          <w:b w:val="0"/>
        </w:rPr>
        <w:t>.</w:t>
      </w:r>
    </w:p>
    <w:p w14:paraId="6F9C2144" w14:textId="4685996B" w:rsidR="00B925DC" w:rsidRPr="00B52728" w:rsidRDefault="0028699D" w:rsidP="00873E38">
      <w:pPr>
        <w:pStyle w:val="Numberedparagraph"/>
        <w:numPr>
          <w:ilvl w:val="0"/>
          <w:numId w:val="0"/>
        </w:numPr>
        <w:spacing w:before="240" w:after="240"/>
        <w:rPr>
          <w:b w:val="0"/>
          <w:i/>
          <w:color w:val="1F497D" w:themeColor="text2"/>
        </w:rPr>
      </w:pPr>
      <w:r>
        <w:rPr>
          <w:i/>
        </w:rPr>
        <w:t>Assignment of</w:t>
      </w:r>
      <w:r w:rsidR="00B925DC" w:rsidRPr="00B52728">
        <w:rPr>
          <w:i/>
        </w:rPr>
        <w:t xml:space="preserve"> risk to parties not best placed to manage </w:t>
      </w:r>
      <w:r>
        <w:rPr>
          <w:i/>
        </w:rPr>
        <w:t xml:space="preserve">that </w:t>
      </w:r>
      <w:r w:rsidR="00B925DC" w:rsidRPr="00B52728">
        <w:rPr>
          <w:i/>
        </w:rPr>
        <w:t>risk</w:t>
      </w:r>
    </w:p>
    <w:p w14:paraId="53B51A6C" w14:textId="79A0F013" w:rsidR="00B925DC" w:rsidRPr="00B52728" w:rsidRDefault="00B925DC" w:rsidP="00BE368A">
      <w:pPr>
        <w:pStyle w:val="Numberedparagraph"/>
        <w:rPr>
          <w:b w:val="0"/>
        </w:rPr>
      </w:pPr>
      <w:r w:rsidRPr="00B52728">
        <w:rPr>
          <w:b w:val="0"/>
        </w:rPr>
        <w:t>The Priority Right</w:t>
      </w:r>
      <w:r w:rsidR="00766AEB">
        <w:rPr>
          <w:b w:val="0"/>
        </w:rPr>
        <w:t>s</w:t>
      </w:r>
      <w:r w:rsidRPr="00B52728">
        <w:rPr>
          <w:b w:val="0"/>
        </w:rPr>
        <w:t xml:space="preserve"> arrangements assign the ri</w:t>
      </w:r>
      <w:r w:rsidR="0028699D">
        <w:rPr>
          <w:b w:val="0"/>
        </w:rPr>
        <w:t xml:space="preserve">sks associated with </w:t>
      </w:r>
      <w:r w:rsidRPr="00B52728">
        <w:rPr>
          <w:b w:val="0"/>
        </w:rPr>
        <w:t>congestion</w:t>
      </w:r>
      <w:r w:rsidR="0028699D">
        <w:rPr>
          <w:b w:val="0"/>
        </w:rPr>
        <w:t xml:space="preserve"> arising</w:t>
      </w:r>
      <w:r w:rsidRPr="00B52728">
        <w:rPr>
          <w:b w:val="0"/>
        </w:rPr>
        <w:t xml:space="preserve"> to those parties that d</w:t>
      </w:r>
      <w:r w:rsidR="00543630">
        <w:rPr>
          <w:b w:val="0"/>
        </w:rPr>
        <w:t>id</w:t>
      </w:r>
      <w:r w:rsidRPr="00B52728">
        <w:rPr>
          <w:b w:val="0"/>
        </w:rPr>
        <w:t xml:space="preserve"> not manage to secure any Priority</w:t>
      </w:r>
      <w:r w:rsidR="008B5FB1">
        <w:rPr>
          <w:b w:val="0"/>
        </w:rPr>
        <w:t xml:space="preserve"> Rights</w:t>
      </w:r>
      <w:r w:rsidRPr="00B52728">
        <w:rPr>
          <w:b w:val="0"/>
        </w:rPr>
        <w:t xml:space="preserve"> </w:t>
      </w:r>
      <w:r w:rsidR="00543630">
        <w:rPr>
          <w:b w:val="0"/>
        </w:rPr>
        <w:t>for the congested period</w:t>
      </w:r>
      <w:r w:rsidRPr="00B52728">
        <w:rPr>
          <w:b w:val="0"/>
        </w:rPr>
        <w:t xml:space="preserve">. </w:t>
      </w:r>
    </w:p>
    <w:p w14:paraId="49E5F0A7" w14:textId="23B78D0F" w:rsidR="00B52728" w:rsidRDefault="00B925DC" w:rsidP="00B52728">
      <w:pPr>
        <w:pStyle w:val="Numberedparagraph"/>
        <w:rPr>
          <w:b w:val="0"/>
        </w:rPr>
      </w:pPr>
      <w:r w:rsidRPr="00B52728">
        <w:rPr>
          <w:b w:val="0"/>
        </w:rPr>
        <w:lastRenderedPageBreak/>
        <w:t>We consider that the risks of congestion are not assigned to the party best able to manage them, i.e. a retailer who does</w:t>
      </w:r>
      <w:r w:rsidR="00766AEB">
        <w:rPr>
          <w:b w:val="0"/>
        </w:rPr>
        <w:t xml:space="preserve"> </w:t>
      </w:r>
      <w:r w:rsidRPr="00B52728">
        <w:rPr>
          <w:b w:val="0"/>
        </w:rPr>
        <w:t>n</w:t>
      </w:r>
      <w:r w:rsidR="00766AEB">
        <w:rPr>
          <w:b w:val="0"/>
        </w:rPr>
        <w:t>o</w:t>
      </w:r>
      <w:r w:rsidRPr="00B52728">
        <w:rPr>
          <w:b w:val="0"/>
        </w:rPr>
        <w:t xml:space="preserve">t secure any Priority Rights is not able to easily manage the risk of significant overruns </w:t>
      </w:r>
      <w:r w:rsidR="00EF3EDA" w:rsidRPr="00B52728">
        <w:rPr>
          <w:b w:val="0"/>
        </w:rPr>
        <w:t>or liability arising d</w:t>
      </w:r>
      <w:r w:rsidR="00413DA5">
        <w:rPr>
          <w:b w:val="0"/>
        </w:rPr>
        <w:t xml:space="preserve">ue to a failure to follow an </w:t>
      </w:r>
      <w:r w:rsidR="00543630">
        <w:rPr>
          <w:b w:val="0"/>
        </w:rPr>
        <w:t>O</w:t>
      </w:r>
      <w:r w:rsidR="00413DA5">
        <w:rPr>
          <w:b w:val="0"/>
        </w:rPr>
        <w:t xml:space="preserve">perational </w:t>
      </w:r>
      <w:r w:rsidR="00543630">
        <w:rPr>
          <w:b w:val="0"/>
        </w:rPr>
        <w:t xml:space="preserve">Flow Order </w:t>
      </w:r>
      <w:r w:rsidR="0028699D">
        <w:rPr>
          <w:b w:val="0"/>
        </w:rPr>
        <w:t>when congestion occurs.</w:t>
      </w:r>
      <w:r w:rsidR="00EF3EDA" w:rsidRPr="00B52728">
        <w:rPr>
          <w:b w:val="0"/>
        </w:rPr>
        <w:t xml:space="preserve"> </w:t>
      </w:r>
    </w:p>
    <w:p w14:paraId="0D613708" w14:textId="28FC9409" w:rsidR="00F41D1F" w:rsidRDefault="00F41D1F" w:rsidP="00F41D1F">
      <w:pPr>
        <w:pStyle w:val="Numberedparagraph"/>
        <w:rPr>
          <w:b w:val="0"/>
        </w:rPr>
      </w:pPr>
      <w:r>
        <w:rPr>
          <w:b w:val="0"/>
        </w:rPr>
        <w:t>Shippers who retail to mass market customers will have to procure Priority Rights</w:t>
      </w:r>
      <w:r w:rsidR="00812F5E">
        <w:rPr>
          <w:b w:val="0"/>
        </w:rPr>
        <w:t xml:space="preserve"> – to not procure Priority Rights would be imprudent</w:t>
      </w:r>
      <w:r>
        <w:rPr>
          <w:b w:val="0"/>
        </w:rPr>
        <w:t>.</w:t>
      </w:r>
      <w:r w:rsidRPr="00F41D1F">
        <w:rPr>
          <w:b w:val="0"/>
        </w:rPr>
        <w:t xml:space="preserve"> </w:t>
      </w:r>
      <w:r>
        <w:rPr>
          <w:b w:val="0"/>
        </w:rPr>
        <w:t>This</w:t>
      </w:r>
      <w:r w:rsidR="00812F5E">
        <w:rPr>
          <w:b w:val="0"/>
        </w:rPr>
        <w:t xml:space="preserve"> view is supported</w:t>
      </w:r>
      <w:r>
        <w:rPr>
          <w:b w:val="0"/>
        </w:rPr>
        <w:t xml:space="preserve"> by the TLG</w:t>
      </w:r>
      <w:r w:rsidR="001F446A">
        <w:rPr>
          <w:b w:val="0"/>
        </w:rPr>
        <w:t xml:space="preserve"> </w:t>
      </w:r>
      <w:r>
        <w:rPr>
          <w:b w:val="0"/>
        </w:rPr>
        <w:t>as follows</w:t>
      </w:r>
      <w:r w:rsidR="001F446A">
        <w:rPr>
          <w:rStyle w:val="FootnoteReference"/>
          <w:b w:val="0"/>
        </w:rPr>
        <w:footnoteReference w:id="11"/>
      </w:r>
      <w:r>
        <w:rPr>
          <w:b w:val="0"/>
        </w:rPr>
        <w:t>:</w:t>
      </w:r>
    </w:p>
    <w:p w14:paraId="6588F8D5" w14:textId="746838C9" w:rsidR="00F41D1F" w:rsidRDefault="00F41D1F" w:rsidP="0060741B">
      <w:pPr>
        <w:pStyle w:val="Numberedparagraph"/>
        <w:numPr>
          <w:ilvl w:val="0"/>
          <w:numId w:val="0"/>
        </w:numPr>
        <w:ind w:left="1440" w:right="566"/>
        <w:rPr>
          <w:b w:val="0"/>
          <w:i/>
        </w:rPr>
      </w:pPr>
      <w:r w:rsidRPr="00F41D1F">
        <w:rPr>
          <w:b w:val="0"/>
          <w:i/>
        </w:rPr>
        <w:t>“It is not clear how smaller customers can manage risk associated with not having Priority Rights, as this segment is notoriously insensitive to the need to curtail without a major communications effort or government involvement, so for a retailer to just ignore the Priority Right arrangements and hope that everything turns out to be a critical contingency seems imprudent, if not foolhardy</w:t>
      </w:r>
      <w:r w:rsidR="002462F7">
        <w:rPr>
          <w:b w:val="0"/>
          <w:i/>
        </w:rPr>
        <w:t>. C</w:t>
      </w:r>
      <w:r w:rsidRPr="00F41D1F">
        <w:rPr>
          <w:b w:val="0"/>
          <w:i/>
        </w:rPr>
        <w:t>onsequently</w:t>
      </w:r>
      <w:r w:rsidR="001E2B5D">
        <w:rPr>
          <w:b w:val="0"/>
          <w:i/>
        </w:rPr>
        <w:t>,</w:t>
      </w:r>
      <w:r w:rsidRPr="00F41D1F">
        <w:rPr>
          <w:b w:val="0"/>
          <w:i/>
        </w:rPr>
        <w:t xml:space="preserve"> Priority Rights will have to be secured.”</w:t>
      </w:r>
      <w:r>
        <w:rPr>
          <w:b w:val="0"/>
          <w:i/>
        </w:rPr>
        <w:t xml:space="preserve"> </w:t>
      </w:r>
    </w:p>
    <w:p w14:paraId="235B95EA" w14:textId="225014A0" w:rsidR="00B925DC" w:rsidRDefault="00B925DC" w:rsidP="00B52728">
      <w:pPr>
        <w:pStyle w:val="Numberedparagraph"/>
        <w:rPr>
          <w:b w:val="0"/>
        </w:rPr>
      </w:pPr>
      <w:r w:rsidRPr="00B52728">
        <w:rPr>
          <w:b w:val="0"/>
        </w:rPr>
        <w:t>The proposed Priority Rights design, despite now incorp</w:t>
      </w:r>
      <w:r w:rsidR="0028699D">
        <w:rPr>
          <w:b w:val="0"/>
        </w:rPr>
        <w:t xml:space="preserve">orating a capability to enter into Interruptible </w:t>
      </w:r>
      <w:r w:rsidR="00C232A7">
        <w:rPr>
          <w:b w:val="0"/>
        </w:rPr>
        <w:t>Agreements</w:t>
      </w:r>
      <w:r w:rsidR="0028699D">
        <w:rPr>
          <w:b w:val="0"/>
        </w:rPr>
        <w:t xml:space="preserve"> with load</w:t>
      </w:r>
      <w:r w:rsidRPr="00B52728">
        <w:rPr>
          <w:b w:val="0"/>
        </w:rPr>
        <w:t>,</w:t>
      </w:r>
      <w:r w:rsidR="00EF3EDA" w:rsidRPr="00B52728">
        <w:rPr>
          <w:b w:val="0"/>
        </w:rPr>
        <w:t xml:space="preserve"> continues to fail</w:t>
      </w:r>
      <w:r w:rsidRPr="00B52728">
        <w:rPr>
          <w:b w:val="0"/>
        </w:rPr>
        <w:t xml:space="preserve"> to recognise the simple fact that mass market </w:t>
      </w:r>
      <w:r w:rsidR="00B52728" w:rsidRPr="00B52728">
        <w:rPr>
          <w:b w:val="0"/>
        </w:rPr>
        <w:t xml:space="preserve">customers </w:t>
      </w:r>
      <w:r w:rsidRPr="00B52728">
        <w:rPr>
          <w:b w:val="0"/>
        </w:rPr>
        <w:t>cannot readily respond to signals around congestion.</w:t>
      </w:r>
      <w:r w:rsidR="00EF3EDA" w:rsidRPr="00B52728">
        <w:rPr>
          <w:b w:val="0"/>
        </w:rPr>
        <w:t xml:space="preserve"> This is a fundamental flaw in the design arrangement which will lead to perverse outcomes under the proposed new </w:t>
      </w:r>
      <w:r w:rsidR="00AF7770">
        <w:rPr>
          <w:b w:val="0"/>
        </w:rPr>
        <w:t>GTAC</w:t>
      </w:r>
      <w:r w:rsidR="00EF3EDA" w:rsidRPr="00B52728">
        <w:rPr>
          <w:b w:val="0"/>
        </w:rPr>
        <w:t xml:space="preserve">. </w:t>
      </w:r>
      <w:r w:rsidR="00F41D1F">
        <w:rPr>
          <w:b w:val="0"/>
        </w:rPr>
        <w:t>This is supported by the TLG</w:t>
      </w:r>
      <w:r w:rsidR="00FF76C9">
        <w:rPr>
          <w:rStyle w:val="FootnoteReference"/>
          <w:b w:val="0"/>
        </w:rPr>
        <w:footnoteReference w:id="12"/>
      </w:r>
      <w:r w:rsidR="00F41D1F">
        <w:rPr>
          <w:b w:val="0"/>
        </w:rPr>
        <w:t>:</w:t>
      </w:r>
    </w:p>
    <w:p w14:paraId="3C0D8DB7" w14:textId="422E8463" w:rsidR="00F41D1F" w:rsidRDefault="00F41D1F" w:rsidP="0060741B">
      <w:pPr>
        <w:pStyle w:val="Numberedparagraph"/>
        <w:numPr>
          <w:ilvl w:val="0"/>
          <w:numId w:val="0"/>
        </w:numPr>
        <w:ind w:left="1440" w:right="566"/>
        <w:rPr>
          <w:b w:val="0"/>
        </w:rPr>
      </w:pPr>
      <w:r w:rsidRPr="00F41D1F">
        <w:rPr>
          <w:b w:val="0"/>
          <w:i/>
        </w:rPr>
        <w:t>“</w:t>
      </w:r>
      <w:r w:rsidR="00FF76C9">
        <w:rPr>
          <w:b w:val="0"/>
          <w:i/>
        </w:rPr>
        <w:t>It’s not clear what valid purpose is served in this case whereby Priority Rights run potential counter to the contingency management regulations, as one would expect (what) there to be a consistent relationship between expectations and outcomes under the Priority Rights regime (soft landing) and under the contingency management regime (hard landing). It’s not hard to anticipate the politicised</w:t>
      </w:r>
      <w:r w:rsidRPr="00F41D1F">
        <w:rPr>
          <w:b w:val="0"/>
          <w:i/>
        </w:rPr>
        <w:t xml:space="preserve"> consequence of any error in determining Priority Rights allocations that leave Band 6 or 7 customers exposed. Humans and complex systems make errors. Why tempt fate? Is a situation in which a retailer failed </w:t>
      </w:r>
      <w:r w:rsidR="00FF76C9">
        <w:rPr>
          <w:b w:val="0"/>
          <w:i/>
        </w:rPr>
        <w:t xml:space="preserve">(or was unable) </w:t>
      </w:r>
      <w:r w:rsidRPr="00F41D1F">
        <w:rPr>
          <w:b w:val="0"/>
          <w:i/>
        </w:rPr>
        <w:t xml:space="preserve">to secure Priority Rights for Band 6 or 7 customers thus putting First Gas into a decidedly awkward position something that First Gas really wants to experience? “It’s not my fault” may be cheeky, it might even be true, but it’s </w:t>
      </w:r>
      <w:r w:rsidR="00FF76C9">
        <w:rPr>
          <w:b w:val="0"/>
          <w:i/>
        </w:rPr>
        <w:t>terrible business and political management</w:t>
      </w:r>
      <w:r>
        <w:rPr>
          <w:b w:val="0"/>
          <w:i/>
        </w:rPr>
        <w:t>.”</w:t>
      </w:r>
      <w:r w:rsidR="00771E87">
        <w:rPr>
          <w:b w:val="0"/>
          <w:i/>
        </w:rPr>
        <w:t xml:space="preserve"> </w:t>
      </w:r>
    </w:p>
    <w:p w14:paraId="42DE3B46" w14:textId="00B10A26" w:rsidR="002462F7" w:rsidRPr="002462F7" w:rsidRDefault="006E6EB9" w:rsidP="002462F7">
      <w:pPr>
        <w:pStyle w:val="Numberedparagraph"/>
        <w:rPr>
          <w:b w:val="0"/>
        </w:rPr>
      </w:pPr>
      <w:r w:rsidRPr="006E6EB9">
        <w:rPr>
          <w:b w:val="0"/>
        </w:rPr>
        <w:t>As noted earlier,</w:t>
      </w:r>
      <w:r>
        <w:t xml:space="preserve"> </w:t>
      </w:r>
      <w:r>
        <w:rPr>
          <w:b w:val="0"/>
        </w:rPr>
        <w:t>w</w:t>
      </w:r>
      <w:r w:rsidRPr="00B57957">
        <w:rPr>
          <w:b w:val="0"/>
        </w:rPr>
        <w:t xml:space="preserve">e </w:t>
      </w:r>
      <w:r>
        <w:rPr>
          <w:b w:val="0"/>
        </w:rPr>
        <w:t>consider</w:t>
      </w:r>
      <w:r w:rsidRPr="00B57957">
        <w:rPr>
          <w:b w:val="0"/>
        </w:rPr>
        <w:t xml:space="preserve"> that mass market end users </w:t>
      </w:r>
      <w:r>
        <w:rPr>
          <w:b w:val="0"/>
        </w:rPr>
        <w:t xml:space="preserve">should </w:t>
      </w:r>
      <w:r w:rsidRPr="00B57957">
        <w:rPr>
          <w:b w:val="0"/>
        </w:rPr>
        <w:t xml:space="preserve">be excluded from the </w:t>
      </w:r>
      <w:r>
        <w:rPr>
          <w:b w:val="0"/>
        </w:rPr>
        <w:t xml:space="preserve">currently proposed </w:t>
      </w:r>
      <w:r w:rsidRPr="00B57957">
        <w:rPr>
          <w:b w:val="0"/>
        </w:rPr>
        <w:t>arrangements or automatically assigned f</w:t>
      </w:r>
      <w:r w:rsidR="002462F7">
        <w:rPr>
          <w:b w:val="0"/>
        </w:rPr>
        <w:t>irm transport capacity upfront. This is supported by TLG</w:t>
      </w:r>
      <w:r w:rsidR="001F446A">
        <w:rPr>
          <w:b w:val="0"/>
        </w:rPr>
        <w:t xml:space="preserve"> </w:t>
      </w:r>
      <w:r w:rsidR="002462F7">
        <w:rPr>
          <w:b w:val="0"/>
        </w:rPr>
        <w:t xml:space="preserve">who </w:t>
      </w:r>
      <w:r w:rsidR="002462F7" w:rsidRPr="002462F7">
        <w:rPr>
          <w:b w:val="0"/>
        </w:rPr>
        <w:t>notes that</w:t>
      </w:r>
      <w:r w:rsidR="001F446A">
        <w:rPr>
          <w:rStyle w:val="FootnoteReference"/>
          <w:b w:val="0"/>
        </w:rPr>
        <w:footnoteReference w:id="13"/>
      </w:r>
      <w:r w:rsidR="002462F7" w:rsidRPr="002462F7">
        <w:rPr>
          <w:b w:val="0"/>
        </w:rPr>
        <w:t>:</w:t>
      </w:r>
    </w:p>
    <w:p w14:paraId="6294D135" w14:textId="7F253A3B" w:rsidR="002462F7" w:rsidRDefault="002462F7" w:rsidP="0060741B">
      <w:pPr>
        <w:pStyle w:val="Numberedparagraph"/>
        <w:numPr>
          <w:ilvl w:val="0"/>
          <w:numId w:val="0"/>
        </w:numPr>
        <w:ind w:left="1440" w:right="566"/>
        <w:rPr>
          <w:b w:val="0"/>
          <w:i/>
        </w:rPr>
      </w:pPr>
      <w:r w:rsidRPr="002462F7">
        <w:rPr>
          <w:b w:val="0"/>
          <w:i/>
        </w:rPr>
        <w:t>“Priority Rights are not long-term instruments and so represent a continuing business risk and cost to manage, introducing an uncertainty that would be more easily catered for via default Priority Rights and a clear cost allocation (tariff) regime”.</w:t>
      </w:r>
      <w:r>
        <w:rPr>
          <w:b w:val="0"/>
          <w:i/>
        </w:rPr>
        <w:t xml:space="preserve"> </w:t>
      </w:r>
    </w:p>
    <w:p w14:paraId="5237E357" w14:textId="40C1DBCD" w:rsidR="00911567" w:rsidRPr="00164F79" w:rsidRDefault="00911567" w:rsidP="00911567">
      <w:pPr>
        <w:pStyle w:val="Numberedparagraph"/>
        <w:rPr>
          <w:b w:val="0"/>
        </w:rPr>
      </w:pPr>
      <w:r w:rsidRPr="00164F79">
        <w:rPr>
          <w:b w:val="0"/>
        </w:rPr>
        <w:t xml:space="preserve">We also request </w:t>
      </w:r>
      <w:r w:rsidR="00164F79">
        <w:rPr>
          <w:b w:val="0"/>
        </w:rPr>
        <w:t>that the implementation of</w:t>
      </w:r>
      <w:r w:rsidRPr="00164F79">
        <w:rPr>
          <w:b w:val="0"/>
        </w:rPr>
        <w:t xml:space="preserve"> transitional arrangements for all current Shippers</w:t>
      </w:r>
      <w:r w:rsidR="00164F79" w:rsidRPr="00164F79">
        <w:rPr>
          <w:b w:val="0"/>
        </w:rPr>
        <w:t xml:space="preserve"> are explored</w:t>
      </w:r>
      <w:r w:rsidR="00164F79">
        <w:rPr>
          <w:rStyle w:val="FootnoteReference"/>
          <w:b w:val="0"/>
        </w:rPr>
        <w:footnoteReference w:id="14"/>
      </w:r>
      <w:r w:rsidR="00164F79">
        <w:rPr>
          <w:b w:val="0"/>
        </w:rPr>
        <w:t xml:space="preserve"> </w:t>
      </w:r>
      <w:r w:rsidR="00164F79" w:rsidRPr="00164F79">
        <w:rPr>
          <w:b w:val="0"/>
        </w:rPr>
        <w:t>in further detail</w:t>
      </w:r>
      <w:r w:rsidR="00164F79">
        <w:rPr>
          <w:b w:val="0"/>
        </w:rPr>
        <w:t xml:space="preserve"> with industry based on the recommendations of the</w:t>
      </w:r>
      <w:r w:rsidR="00164F79" w:rsidRPr="00164F79">
        <w:rPr>
          <w:b w:val="0"/>
        </w:rPr>
        <w:t xml:space="preserve"> TLG</w:t>
      </w:r>
      <w:r w:rsidR="00164F79" w:rsidRPr="00164F79">
        <w:rPr>
          <w:rStyle w:val="FootnoteReference"/>
          <w:b w:val="0"/>
        </w:rPr>
        <w:footnoteReference w:id="15"/>
      </w:r>
      <w:r w:rsidR="00164F79" w:rsidRPr="00164F79">
        <w:rPr>
          <w:b w:val="0"/>
        </w:rPr>
        <w:t>:</w:t>
      </w:r>
    </w:p>
    <w:p w14:paraId="7497AA58" w14:textId="2C390C79" w:rsidR="00164F79" w:rsidRPr="002462F7" w:rsidRDefault="00164F79" w:rsidP="0060741B">
      <w:pPr>
        <w:pStyle w:val="Numberedparagraph"/>
        <w:numPr>
          <w:ilvl w:val="0"/>
          <w:numId w:val="0"/>
        </w:numPr>
        <w:ind w:left="1440" w:right="566"/>
      </w:pPr>
      <w:r w:rsidRPr="00164F79">
        <w:rPr>
          <w:b w:val="0"/>
          <w:i/>
        </w:rPr>
        <w:t>“And, because the Priority Rights regime would be “new”, one might consider borrowing from experience in markets that introduce new competitive mechanisms during periods of relative tightness and start with a set of grandfathered or transitional Priority Rights so that the wealth-transfer and potential competitiveness issues that can arise when replacing prior ambiguity with crystallised scarcity are more clearly manage until everyone gains experience with the arrangements, and in fact, sees some nexus between congestion and some combination of demand or investment response.”</w:t>
      </w:r>
      <w:r>
        <w:t xml:space="preserve"> </w:t>
      </w:r>
    </w:p>
    <w:p w14:paraId="0EFD1702" w14:textId="69310FB9" w:rsidR="00B52728" w:rsidRPr="00A35B18" w:rsidRDefault="00F41D1F" w:rsidP="00E0639D">
      <w:pPr>
        <w:pStyle w:val="Numberedparagraph"/>
        <w:numPr>
          <w:ilvl w:val="0"/>
          <w:numId w:val="0"/>
        </w:numPr>
        <w:spacing w:before="240" w:after="240"/>
        <w:rPr>
          <w:i/>
        </w:rPr>
      </w:pPr>
      <w:r>
        <w:rPr>
          <w:i/>
        </w:rPr>
        <w:t>C</w:t>
      </w:r>
      <w:r w:rsidR="0028699D">
        <w:rPr>
          <w:i/>
        </w:rPr>
        <w:t>reation of</w:t>
      </w:r>
      <w:r w:rsidR="00B52728" w:rsidRPr="00B52728">
        <w:rPr>
          <w:i/>
        </w:rPr>
        <w:t xml:space="preserve"> a product th</w:t>
      </w:r>
      <w:r w:rsidR="00A35B18">
        <w:rPr>
          <w:i/>
        </w:rPr>
        <w:t xml:space="preserve">at Shippers must pay for in most trading </w:t>
      </w:r>
      <w:r w:rsidR="00B52728" w:rsidRPr="00B52728">
        <w:rPr>
          <w:i/>
        </w:rPr>
        <w:t xml:space="preserve">periods, but which will not be available when </w:t>
      </w:r>
      <w:r w:rsidR="00B52728">
        <w:rPr>
          <w:i/>
        </w:rPr>
        <w:t>actually</w:t>
      </w:r>
      <w:r w:rsidR="00B52728" w:rsidRPr="00B52728">
        <w:rPr>
          <w:i/>
        </w:rPr>
        <w:t xml:space="preserve"> </w:t>
      </w:r>
      <w:r w:rsidR="00B52728" w:rsidRPr="00A35B18">
        <w:rPr>
          <w:i/>
        </w:rPr>
        <w:t>required</w:t>
      </w:r>
      <w:r w:rsidR="00766AEB">
        <w:rPr>
          <w:i/>
        </w:rPr>
        <w:t xml:space="preserve"> </w:t>
      </w:r>
    </w:p>
    <w:p w14:paraId="2AFA59DD" w14:textId="1A3524B2" w:rsidR="00B52728" w:rsidRDefault="00A35B18" w:rsidP="00A35B18">
      <w:pPr>
        <w:pStyle w:val="Numberedparagraph"/>
        <w:rPr>
          <w:b w:val="0"/>
        </w:rPr>
      </w:pPr>
      <w:r w:rsidRPr="00A35B18">
        <w:rPr>
          <w:b w:val="0"/>
        </w:rPr>
        <w:t xml:space="preserve">As currently proposed, Shippers would be required to pay for any Priority Rights </w:t>
      </w:r>
      <w:r>
        <w:rPr>
          <w:b w:val="0"/>
        </w:rPr>
        <w:t xml:space="preserve">they have acquired </w:t>
      </w:r>
      <w:r w:rsidRPr="00A35B18">
        <w:rPr>
          <w:b w:val="0"/>
        </w:rPr>
        <w:t>for</w:t>
      </w:r>
      <w:r>
        <w:rPr>
          <w:b w:val="0"/>
        </w:rPr>
        <w:t xml:space="preserve"> each trading period during</w:t>
      </w:r>
      <w:r w:rsidR="00DA6AE6">
        <w:rPr>
          <w:b w:val="0"/>
        </w:rPr>
        <w:t xml:space="preserve"> a</w:t>
      </w:r>
      <w:r w:rsidRPr="00A35B18">
        <w:rPr>
          <w:b w:val="0"/>
        </w:rPr>
        <w:t xml:space="preserve"> </w:t>
      </w:r>
      <w:r w:rsidR="00413DA5">
        <w:rPr>
          <w:b w:val="0"/>
        </w:rPr>
        <w:t>~6 month</w:t>
      </w:r>
      <w:r w:rsidR="0028699D">
        <w:rPr>
          <w:b w:val="0"/>
        </w:rPr>
        <w:t xml:space="preserve"> period</w:t>
      </w:r>
      <w:r w:rsidR="00DA6AE6">
        <w:rPr>
          <w:b w:val="0"/>
        </w:rPr>
        <w:t xml:space="preserve">. However </w:t>
      </w:r>
      <w:r w:rsidRPr="00A35B18">
        <w:rPr>
          <w:b w:val="0"/>
        </w:rPr>
        <w:t>in the few periods where congestion occurs and Shippers would value firm capacity the most</w:t>
      </w:r>
      <w:r w:rsidR="00766AEB">
        <w:rPr>
          <w:b w:val="0"/>
        </w:rPr>
        <w:t>,</w:t>
      </w:r>
      <w:r w:rsidRPr="00A35B18">
        <w:rPr>
          <w:b w:val="0"/>
        </w:rPr>
        <w:t xml:space="preserve"> they cannot be used (and so are not paid for). For example during a Critical Contingency, Force Majeure or Emergency event</w:t>
      </w:r>
      <w:r w:rsidR="0028699D">
        <w:rPr>
          <w:b w:val="0"/>
        </w:rPr>
        <w:t>, Priority Rights will not apply</w:t>
      </w:r>
      <w:r w:rsidRPr="00A35B18">
        <w:rPr>
          <w:b w:val="0"/>
        </w:rPr>
        <w:t xml:space="preserve">. </w:t>
      </w:r>
    </w:p>
    <w:p w14:paraId="0C51C9B0" w14:textId="7113170A" w:rsidR="00A35B18" w:rsidRDefault="00DA6AE6" w:rsidP="00A35B18">
      <w:pPr>
        <w:pStyle w:val="Numberedparagraph"/>
        <w:rPr>
          <w:b w:val="0"/>
        </w:rPr>
      </w:pPr>
      <w:r>
        <w:rPr>
          <w:b w:val="0"/>
        </w:rPr>
        <w:t>This creates a perverse design feature when coupled with the fact that during congestion events the actual price for DNC will not necessarily adjust to reflect the relative scarcity of transmission capacity. To have such a simple arrangements for Priority Rights</w:t>
      </w:r>
      <w:r w:rsidR="009E5D8E">
        <w:rPr>
          <w:b w:val="0"/>
        </w:rPr>
        <w:t xml:space="preserve"> </w:t>
      </w:r>
      <w:r>
        <w:rPr>
          <w:b w:val="0"/>
        </w:rPr>
        <w:t xml:space="preserve">would require a more complex arrangement for DNC in order to </w:t>
      </w:r>
      <w:r>
        <w:rPr>
          <w:b w:val="0"/>
        </w:rPr>
        <w:lastRenderedPageBreak/>
        <w:t xml:space="preserve">achieve an economic nexus.  </w:t>
      </w:r>
      <w:r w:rsidR="009E5D8E">
        <w:rPr>
          <w:b w:val="0"/>
        </w:rPr>
        <w:t xml:space="preserve">Otherwise the signals provided under the proposed access products will be confused. </w:t>
      </w:r>
      <w:r w:rsidR="0057559A">
        <w:rPr>
          <w:b w:val="0"/>
        </w:rPr>
        <w:t>These views are supported by TLG</w:t>
      </w:r>
      <w:r w:rsidR="00FF76C9">
        <w:rPr>
          <w:rStyle w:val="FootnoteReference"/>
          <w:b w:val="0"/>
        </w:rPr>
        <w:footnoteReference w:id="16"/>
      </w:r>
      <w:r w:rsidR="0057559A">
        <w:rPr>
          <w:b w:val="0"/>
        </w:rPr>
        <w:t>:</w:t>
      </w:r>
    </w:p>
    <w:p w14:paraId="2268D42E" w14:textId="315702C0" w:rsidR="004C7EC7" w:rsidRPr="004C7EC7" w:rsidRDefault="004C7EC7" w:rsidP="0060741B">
      <w:pPr>
        <w:pStyle w:val="Numberedparagraph"/>
        <w:numPr>
          <w:ilvl w:val="0"/>
          <w:numId w:val="0"/>
        </w:numPr>
        <w:ind w:left="1440" w:right="566"/>
        <w:rPr>
          <w:b w:val="0"/>
          <w:i/>
        </w:rPr>
      </w:pPr>
      <w:r w:rsidRPr="004C7EC7">
        <w:rPr>
          <w:b w:val="0"/>
          <w:i/>
        </w:rPr>
        <w:t>“</w:t>
      </w:r>
      <w:r w:rsidR="00FF76C9">
        <w:rPr>
          <w:b w:val="0"/>
          <w:i/>
        </w:rPr>
        <w:t>The workings of a Priority Rights mechanism are</w:t>
      </w:r>
      <w:r w:rsidRPr="004C7EC7">
        <w:rPr>
          <w:b w:val="0"/>
          <w:i/>
        </w:rPr>
        <w:t xml:space="preserve"> like a capacity auction, but without a variable underlying “energy” price or congestion price to go with it. So</w:t>
      </w:r>
      <w:r w:rsidR="00FF76C9">
        <w:rPr>
          <w:b w:val="0"/>
          <w:i/>
        </w:rPr>
        <w:t>,</w:t>
      </w:r>
      <w:r w:rsidRPr="004C7EC7">
        <w:rPr>
          <w:b w:val="0"/>
          <w:i/>
        </w:rPr>
        <w:t xml:space="preserve"> the idea of a Priority Right is that is establishes a preference, but not any protection against a price increase (so it is more difficult to value) and no clear protection against congestion beyond what can be inferred from the number of Priority Rights transacted. There’s no integration of “energy” and “capacity” pricing and no similar firm contract mechanism. The Priority Rights proposal is indeed something unusual and bespoke, which makes it especially difficult to assess in a limited time frame.” </w:t>
      </w:r>
    </w:p>
    <w:p w14:paraId="32052434" w14:textId="3FE15C61" w:rsidR="00193700" w:rsidRPr="004C7EC7" w:rsidRDefault="00543630" w:rsidP="00353695">
      <w:pPr>
        <w:pStyle w:val="Numberedparagraph"/>
        <w:rPr>
          <w:b w:val="0"/>
        </w:rPr>
      </w:pPr>
      <w:r w:rsidRPr="004C7EC7">
        <w:rPr>
          <w:b w:val="0"/>
        </w:rPr>
        <w:t>Conceptually it highlight</w:t>
      </w:r>
      <w:r w:rsidR="008B5FB1" w:rsidRPr="004C7EC7">
        <w:rPr>
          <w:b w:val="0"/>
        </w:rPr>
        <w:t>s</w:t>
      </w:r>
      <w:r w:rsidRPr="004C7EC7">
        <w:rPr>
          <w:b w:val="0"/>
        </w:rPr>
        <w:t xml:space="preserve"> the flawed logic around Priority Rights.</w:t>
      </w:r>
      <w:r w:rsidR="008B5FB1" w:rsidRPr="004C7EC7">
        <w:rPr>
          <w:b w:val="0"/>
        </w:rPr>
        <w:t xml:space="preserve"> </w:t>
      </w:r>
      <w:r w:rsidRPr="004C7EC7">
        <w:rPr>
          <w:b w:val="0"/>
        </w:rPr>
        <w:t xml:space="preserve">Priority Rights do not actually assign priority to capacity, and do not ensure a firm supply of gas to the end user. </w:t>
      </w:r>
      <w:r w:rsidR="002B7DEC" w:rsidRPr="004C7EC7">
        <w:rPr>
          <w:b w:val="0"/>
        </w:rPr>
        <w:t>This point is noted in TLG’s report</w:t>
      </w:r>
      <w:r w:rsidR="00FF76C9">
        <w:rPr>
          <w:rStyle w:val="FootnoteReference"/>
          <w:b w:val="0"/>
        </w:rPr>
        <w:footnoteReference w:id="17"/>
      </w:r>
      <w:r w:rsidR="002B7DEC" w:rsidRPr="004C7EC7">
        <w:rPr>
          <w:b w:val="0"/>
        </w:rPr>
        <w:t>:</w:t>
      </w:r>
    </w:p>
    <w:p w14:paraId="68CEF0C1" w14:textId="49470D59" w:rsidR="009E5D8E" w:rsidRDefault="00FD7E04" w:rsidP="0060741B">
      <w:pPr>
        <w:pStyle w:val="Numberedparagraph"/>
        <w:numPr>
          <w:ilvl w:val="0"/>
          <w:numId w:val="0"/>
        </w:numPr>
        <w:ind w:left="1440" w:right="566"/>
        <w:rPr>
          <w:b w:val="0"/>
        </w:rPr>
      </w:pPr>
      <w:r w:rsidRPr="00FD7E04">
        <w:rPr>
          <w:b w:val="0"/>
          <w:i/>
        </w:rPr>
        <w:t>“It is further clear that there is a line between a Priority Right and a contingency that is not well defined, as surely a Priority Right should allow modification of priorities for curtailment during a contingency, as t</w:t>
      </w:r>
      <w:r w:rsidR="00FF76C9">
        <w:rPr>
          <w:b w:val="0"/>
          <w:i/>
        </w:rPr>
        <w:t xml:space="preserve">hat would both enhance value of </w:t>
      </w:r>
      <w:r w:rsidRPr="00FD7E04">
        <w:rPr>
          <w:b w:val="0"/>
          <w:i/>
        </w:rPr>
        <w:t>Priority Rights and give more meaning to “firmness” as an attribute.”</w:t>
      </w:r>
      <w:r>
        <w:rPr>
          <w:b w:val="0"/>
          <w:i/>
        </w:rPr>
        <w:t xml:space="preserve"> </w:t>
      </w:r>
    </w:p>
    <w:p w14:paraId="26B6182B" w14:textId="25AD4FBB" w:rsidR="00B52728" w:rsidRDefault="0028699D" w:rsidP="00E0639D">
      <w:pPr>
        <w:pStyle w:val="Numberedparagraph"/>
        <w:numPr>
          <w:ilvl w:val="0"/>
          <w:numId w:val="0"/>
        </w:numPr>
        <w:spacing w:before="240" w:after="240"/>
        <w:rPr>
          <w:i/>
        </w:rPr>
      </w:pPr>
      <w:r>
        <w:rPr>
          <w:i/>
        </w:rPr>
        <w:t>Creation of</w:t>
      </w:r>
      <w:r w:rsidR="00B52728" w:rsidRPr="00B52728">
        <w:rPr>
          <w:i/>
        </w:rPr>
        <w:t xml:space="preserve"> arrangements which continue to be largely uncertain</w:t>
      </w:r>
    </w:p>
    <w:p w14:paraId="74F61247" w14:textId="54D7D9C8" w:rsidR="00073AD0" w:rsidRPr="00073AD0" w:rsidRDefault="00073AD0" w:rsidP="00073AD0">
      <w:pPr>
        <w:pStyle w:val="Numberedparagraph"/>
        <w:rPr>
          <w:b w:val="0"/>
        </w:rPr>
      </w:pPr>
      <w:bookmarkStart w:id="41" w:name="_Ref494870348"/>
      <w:r w:rsidRPr="00073AD0">
        <w:rPr>
          <w:b w:val="0"/>
        </w:rPr>
        <w:t>There remain a number of aspects of the Priority Rights design that are uncertain. As outlined above these include:</w:t>
      </w:r>
      <w:bookmarkEnd w:id="41"/>
    </w:p>
    <w:p w14:paraId="0847816D" w14:textId="1C48C770" w:rsidR="0028699D" w:rsidRDefault="00073AD0" w:rsidP="00361614">
      <w:pPr>
        <w:pStyle w:val="Numberedsubparagraph"/>
        <w:numPr>
          <w:ilvl w:val="0"/>
          <w:numId w:val="34"/>
        </w:numPr>
      </w:pPr>
      <w:r w:rsidRPr="00073AD0">
        <w:rPr>
          <w:u w:val="single"/>
        </w:rPr>
        <w:t>The timing of when Priority Rights can be used on the day</w:t>
      </w:r>
      <w:r w:rsidRPr="00073AD0">
        <w:t xml:space="preserve"> – This was discussed at the 28 September workshop</w:t>
      </w:r>
      <w:r>
        <w:t xml:space="preserve"> where the</w:t>
      </w:r>
      <w:r w:rsidRPr="00073AD0">
        <w:t xml:space="preserve"> consensus view appeared to be that they should be available at each nomination cycle (subject to gas flow up to that point in the day). This would attempt to avoid the hoarding</w:t>
      </w:r>
      <w:r>
        <w:t xml:space="preserve"> concerns previously id</w:t>
      </w:r>
      <w:r w:rsidR="00A14730">
        <w:t xml:space="preserve">entified by the industry </w:t>
      </w:r>
      <w:r>
        <w:t>(e.g. a Shipper would n</w:t>
      </w:r>
      <w:r w:rsidR="0028699D">
        <w:t>ominate the maximum amount of Priority Right</w:t>
      </w:r>
      <w:r>
        <w:t xml:space="preserve">s until the last possible minute as they could only nominate a smaller amount in later nomination cycles) and would mean that Priority Rights are now more valuable. </w:t>
      </w:r>
    </w:p>
    <w:p w14:paraId="028A6335" w14:textId="400E1C1F" w:rsidR="00C071FD" w:rsidRDefault="0028699D" w:rsidP="0028699D">
      <w:pPr>
        <w:pStyle w:val="Numberedsubparagraph"/>
        <w:numPr>
          <w:ilvl w:val="0"/>
          <w:numId w:val="0"/>
        </w:numPr>
        <w:ind w:left="1352"/>
      </w:pPr>
      <w:r w:rsidRPr="0028699D">
        <w:t xml:space="preserve">We request that the </w:t>
      </w:r>
      <w:r w:rsidR="00AF7770">
        <w:t>GTAC</w:t>
      </w:r>
      <w:r w:rsidRPr="0028699D">
        <w:t xml:space="preserve"> </w:t>
      </w:r>
      <w:r w:rsidR="00425D4E">
        <w:t>a</w:t>
      </w:r>
      <w:r w:rsidR="00771537">
        <w:t>llow</w:t>
      </w:r>
      <w:r w:rsidR="00425D4E" w:rsidRPr="00434595">
        <w:t xml:space="preserve"> Priority </w:t>
      </w:r>
      <w:r w:rsidR="00425D4E">
        <w:t>R</w:t>
      </w:r>
      <w:r w:rsidR="00425D4E" w:rsidRPr="00434595">
        <w:t>ights to be exercised at any Nomination cycle, subject to deemed flow</w:t>
      </w:r>
      <w:r w:rsidR="00425D4E">
        <w:t>.</w:t>
      </w:r>
    </w:p>
    <w:p w14:paraId="599EA276" w14:textId="3F36A91B" w:rsidR="0028699D" w:rsidRDefault="00C071FD" w:rsidP="00361614">
      <w:pPr>
        <w:pStyle w:val="Numberedsubparagraph"/>
        <w:numPr>
          <w:ilvl w:val="0"/>
          <w:numId w:val="34"/>
        </w:numPr>
      </w:pPr>
      <w:r w:rsidRPr="00C071FD">
        <w:rPr>
          <w:u w:val="single"/>
        </w:rPr>
        <w:t>The timing of entering into Interruptible</w:t>
      </w:r>
      <w:r w:rsidR="00C232A7">
        <w:rPr>
          <w:u w:val="single"/>
        </w:rPr>
        <w:t xml:space="preserve"> Agreements</w:t>
      </w:r>
      <w:r w:rsidRPr="00C071FD">
        <w:rPr>
          <w:u w:val="single"/>
        </w:rPr>
        <w:t xml:space="preserve"> vs</w:t>
      </w:r>
      <w:r w:rsidR="00C75576">
        <w:rPr>
          <w:u w:val="single"/>
        </w:rPr>
        <w:t>.</w:t>
      </w:r>
      <w:r w:rsidRPr="00C071FD">
        <w:rPr>
          <w:u w:val="single"/>
        </w:rPr>
        <w:t xml:space="preserve"> ho</w:t>
      </w:r>
      <w:r w:rsidR="00C75576">
        <w:rPr>
          <w:u w:val="single"/>
        </w:rPr>
        <w:t>lding a Priority Rights auction</w:t>
      </w:r>
      <w:r>
        <w:rPr>
          <w:u w:val="single"/>
        </w:rPr>
        <w:t xml:space="preserve"> </w:t>
      </w:r>
      <w:r w:rsidR="0095046B" w:rsidRPr="00C75576">
        <w:t xml:space="preserve">– </w:t>
      </w:r>
      <w:r w:rsidR="0095046B">
        <w:t xml:space="preserve">We have previously raised concerns that the timing of when an Interruptible </w:t>
      </w:r>
      <w:r w:rsidR="00C232A7">
        <w:t xml:space="preserve">Agreement </w:t>
      </w:r>
      <w:r w:rsidR="0095046B">
        <w:t>will be entered into and a Priority Rights auction held need to be c</w:t>
      </w:r>
      <w:r w:rsidR="0028699D">
        <w:t xml:space="preserve">arefully considered as whether Interruptible </w:t>
      </w:r>
      <w:r w:rsidR="00C232A7">
        <w:t>Agreements</w:t>
      </w:r>
      <w:r w:rsidR="0095046B">
        <w:t xml:space="preserve"> are entered into is an important input into the priority rights auction decision making, i.e. it will be used to determine bid prices by Shippers, along with likelihood of</w:t>
      </w:r>
      <w:r w:rsidR="0028699D">
        <w:t xml:space="preserve"> Priority Rights being needed. </w:t>
      </w:r>
    </w:p>
    <w:p w14:paraId="31324FC1" w14:textId="561306CE" w:rsidR="00C071FD" w:rsidRDefault="0028699D" w:rsidP="0028699D">
      <w:pPr>
        <w:pStyle w:val="Numberedsubparagraph"/>
        <w:numPr>
          <w:ilvl w:val="0"/>
          <w:numId w:val="0"/>
        </w:numPr>
        <w:ind w:left="1352"/>
      </w:pPr>
      <w:r>
        <w:t xml:space="preserve">We request that the </w:t>
      </w:r>
      <w:r w:rsidR="00AF7770">
        <w:t>GTAC</w:t>
      </w:r>
      <w:r>
        <w:t xml:space="preserve"> requires that Interruptible </w:t>
      </w:r>
      <w:r w:rsidR="00C232A7">
        <w:t>Agreements</w:t>
      </w:r>
      <w:r>
        <w:t xml:space="preserve"> be entered into by First Gas</w:t>
      </w:r>
      <w:r w:rsidR="00A14730">
        <w:t>, and notified to the industry</w:t>
      </w:r>
      <w:r w:rsidR="00F05119">
        <w:t>,</w:t>
      </w:r>
      <w:r>
        <w:t xml:space="preserve"> prior to a</w:t>
      </w:r>
      <w:r w:rsidR="00F05119">
        <w:t xml:space="preserve"> Priority Rights</w:t>
      </w:r>
      <w:r>
        <w:t xml:space="preserve"> auction being called. This will ensure all Shippers bidding into an auction are better position</w:t>
      </w:r>
      <w:r w:rsidR="00F05119">
        <w:t>ed</w:t>
      </w:r>
      <w:r>
        <w:t xml:space="preserve"> to value Priority Rights as they will be aware of any Interruptible</w:t>
      </w:r>
      <w:r w:rsidR="00C232A7">
        <w:t xml:space="preserve"> Agreements</w:t>
      </w:r>
      <w:r>
        <w:t xml:space="preserve"> that have been entered into, </w:t>
      </w:r>
      <w:r w:rsidR="00F05119">
        <w:t>or potentially being entered into</w:t>
      </w:r>
      <w:r>
        <w:t xml:space="preserve">, including the price that will be paid to the load when interrupted. </w:t>
      </w:r>
    </w:p>
    <w:p w14:paraId="4ACDFF75" w14:textId="47516660" w:rsidR="00D7424C" w:rsidRDefault="00D7424C" w:rsidP="00D7424C">
      <w:pPr>
        <w:pStyle w:val="Numberedsubparagraph"/>
        <w:numPr>
          <w:ilvl w:val="0"/>
          <w:numId w:val="0"/>
        </w:numPr>
        <w:ind w:left="1352"/>
      </w:pPr>
      <w:r>
        <w:lastRenderedPageBreak/>
        <w:t>This raises another potential market power related issue. Specifically, where a</w:t>
      </w:r>
      <w:r w:rsidR="00C232A7">
        <w:t xml:space="preserve">n End-user </w:t>
      </w:r>
      <w:r>
        <w:t xml:space="preserve">who can offer to have their gas </w:t>
      </w:r>
      <w:r w:rsidR="00C232A7">
        <w:t>offtake curtailed</w:t>
      </w:r>
      <w:r>
        <w:t xml:space="preserve"> does not offer to provide an Interruptible </w:t>
      </w:r>
      <w:r w:rsidR="00C232A7">
        <w:t>Agreement</w:t>
      </w:r>
      <w:r>
        <w:t xml:space="preserve"> when a request is </w:t>
      </w:r>
      <w:r w:rsidR="003A262B">
        <w:t xml:space="preserve">first </w:t>
      </w:r>
      <w:r>
        <w:t xml:space="preserve">issued by First Gas, but rather waits until </w:t>
      </w:r>
      <w:r w:rsidR="00A03A85">
        <w:t xml:space="preserve">when congestion </w:t>
      </w:r>
      <w:r>
        <w:t xml:space="preserve">is imminent to offer to be interruptible.  In this scenario, First Gas may then cancel any Priority Rights that have been issued as the Interruptible </w:t>
      </w:r>
      <w:r w:rsidR="00C232A7">
        <w:t>Agreement</w:t>
      </w:r>
      <w:r>
        <w:t xml:space="preserve"> may provide a more effective mechanism for managing congestion (and demand a premium for doing so), particularly if load in the area is largely mass market. If this occurs then any Priority Rights would have been paid for when they not actually needed</w:t>
      </w:r>
      <w:r w:rsidR="003A262B">
        <w:t xml:space="preserve"> by Shippers</w:t>
      </w:r>
      <w:r>
        <w:t xml:space="preserve"> (i.e. congestion didn’t actually arise)</w:t>
      </w:r>
      <w:r w:rsidR="00A03A85">
        <w:t xml:space="preserve"> and would have been solved with the Interruptible Agreement</w:t>
      </w:r>
      <w:r>
        <w:t xml:space="preserve">. This highlights more </w:t>
      </w:r>
      <w:r w:rsidR="003A262B">
        <w:t xml:space="preserve">of the complexity with the proposed access product arrangements that need to be worked through. </w:t>
      </w:r>
      <w:r>
        <w:t xml:space="preserve"> </w:t>
      </w:r>
    </w:p>
    <w:p w14:paraId="6FBF06CA" w14:textId="6C904831" w:rsidR="00141572" w:rsidRDefault="00C071FD" w:rsidP="00361614">
      <w:pPr>
        <w:pStyle w:val="Numberedsubparagraph"/>
        <w:numPr>
          <w:ilvl w:val="0"/>
          <w:numId w:val="34"/>
        </w:numPr>
      </w:pPr>
      <w:bookmarkStart w:id="42" w:name="_Ref494870344"/>
      <w:r w:rsidRPr="00C071FD">
        <w:rPr>
          <w:u w:val="single"/>
        </w:rPr>
        <w:t xml:space="preserve">The Priority Rights arrangements – including auction objectives </w:t>
      </w:r>
      <w:r w:rsidR="0095046B" w:rsidRPr="0095046B">
        <w:t>–</w:t>
      </w:r>
      <w:r w:rsidR="00141572">
        <w:t xml:space="preserve"> T</w:t>
      </w:r>
      <w:r w:rsidR="0057559A">
        <w:t xml:space="preserve">he actual arrangements </w:t>
      </w:r>
      <w:r w:rsidR="0095046B" w:rsidRPr="0095046B">
        <w:t>for a Priority Rights auct</w:t>
      </w:r>
      <w:r w:rsidR="00141572">
        <w:t>ion have not be</w:t>
      </w:r>
      <w:r w:rsidR="00F05119">
        <w:t>en</w:t>
      </w:r>
      <w:r w:rsidR="00141572">
        <w:t xml:space="preserve"> clearly defined</w:t>
      </w:r>
      <w:r w:rsidR="00C5043C">
        <w:t xml:space="preserve">, but </w:t>
      </w:r>
      <w:r w:rsidR="0095046B">
        <w:t xml:space="preserve">rather </w:t>
      </w:r>
      <w:r w:rsidR="00C5043C">
        <w:t xml:space="preserve">are intended to </w:t>
      </w:r>
      <w:r w:rsidR="0095046B">
        <w:t xml:space="preserve">be determined after the commencement of the GTAC. While supportive of the anticipated role of the GIC in </w:t>
      </w:r>
      <w:r w:rsidR="00C5043C">
        <w:t>facilitating</w:t>
      </w:r>
      <w:r w:rsidR="0057559A">
        <w:t xml:space="preserve"> the work with</w:t>
      </w:r>
      <w:r w:rsidR="00C5043C">
        <w:t xml:space="preserve"> industry (via a working group) to determine</w:t>
      </w:r>
      <w:r w:rsidR="0095046B">
        <w:t xml:space="preserve"> these a</w:t>
      </w:r>
      <w:r w:rsidR="00C5043C">
        <w:t>rrangements</w:t>
      </w:r>
      <w:r w:rsidR="0095046B">
        <w:t>, we note that designing an auction is no easy task</w:t>
      </w:r>
      <w:r w:rsidR="004B7F6D">
        <w:t>, particularly given the concentration of t</w:t>
      </w:r>
      <w:r w:rsidR="00A14730">
        <w:t>he gas industry</w:t>
      </w:r>
      <w:r w:rsidR="004B7F6D">
        <w:t>,</w:t>
      </w:r>
      <w:r w:rsidR="0095046B">
        <w:t xml:space="preserve"> and w</w:t>
      </w:r>
      <w:r w:rsidR="004B7F6D">
        <w:t>ill required significant work</w:t>
      </w:r>
      <w:bookmarkEnd w:id="42"/>
      <w:r w:rsidR="00C5043C">
        <w:t>.</w:t>
      </w:r>
      <w:r w:rsidR="00F05119">
        <w:t xml:space="preserve">  It is quite likely that at this stage fundamental design issues will surface</w:t>
      </w:r>
      <w:r w:rsidR="0057559A">
        <w:t xml:space="preserve"> during the auction design process</w:t>
      </w:r>
      <w:r w:rsidR="00F05119">
        <w:t>.</w:t>
      </w:r>
    </w:p>
    <w:p w14:paraId="77290577" w14:textId="77777777" w:rsidR="009C6671" w:rsidRDefault="00A06E4A" w:rsidP="009C6671">
      <w:pPr>
        <w:pStyle w:val="Numberedsubparagraph"/>
        <w:numPr>
          <w:ilvl w:val="0"/>
          <w:numId w:val="0"/>
        </w:numPr>
        <w:ind w:left="1352"/>
      </w:pPr>
      <w:r>
        <w:t xml:space="preserve">We note that even the best auction design can still suffer from inefficiencies connected to the misalignment of rules and participants’ private incentives. </w:t>
      </w:r>
      <w:r w:rsidR="009C6671">
        <w:t>Auctions need objectives for the design to make sense</w:t>
      </w:r>
      <w:r w:rsidR="009C6671">
        <w:rPr>
          <w:rStyle w:val="FootnoteReference"/>
        </w:rPr>
        <w:footnoteReference w:id="18"/>
      </w:r>
      <w:r w:rsidR="009C6671">
        <w:t xml:space="preserve">. The most important reason for caring about auction design is to ensure economy efficiency is achieved. This requires rules to be designed which are complete, consistent and without loopholes. Otherwise the objectives of the auction will not be fully realised. </w:t>
      </w:r>
    </w:p>
    <w:p w14:paraId="1A1876D3" w14:textId="3D47B15C" w:rsidR="007D197D" w:rsidRDefault="0095046B" w:rsidP="00141572">
      <w:pPr>
        <w:pStyle w:val="Numberedsubparagraph"/>
        <w:numPr>
          <w:ilvl w:val="0"/>
          <w:numId w:val="0"/>
        </w:numPr>
        <w:ind w:left="1352"/>
      </w:pPr>
      <w:r>
        <w:t xml:space="preserve">We have previously committed to preparing </w:t>
      </w:r>
      <w:r w:rsidR="009C6671">
        <w:t>objectives</w:t>
      </w:r>
      <w:r>
        <w:t xml:space="preserve"> to </w:t>
      </w:r>
      <w:r w:rsidR="00C5043C">
        <w:t xml:space="preserve">guide the design of the auction. </w:t>
      </w:r>
      <w:r w:rsidR="007D197D">
        <w:t>These have been informed by TLG’s outlined auction success factors and</w:t>
      </w:r>
      <w:r>
        <w:t xml:space="preserve"> should provide some clarit</w:t>
      </w:r>
      <w:r w:rsidR="004B7F6D">
        <w:t xml:space="preserve">y as to how the arrangements </w:t>
      </w:r>
      <w:r w:rsidR="00C5043C">
        <w:t>are</w:t>
      </w:r>
      <w:r>
        <w:t xml:space="preserve"> intended to work from an outcomes perspective</w:t>
      </w:r>
      <w:r w:rsidR="0057559A">
        <w:t xml:space="preserve">. </w:t>
      </w:r>
      <w:r w:rsidR="007D197D">
        <w:t xml:space="preserve">In particular, we suggest the </w:t>
      </w:r>
      <w:r w:rsidR="004847BE">
        <w:t>following</w:t>
      </w:r>
      <w:r w:rsidR="009C6671">
        <w:t xml:space="preserve"> objectives act as the primary goals for the </w:t>
      </w:r>
      <w:r w:rsidR="004847BE">
        <w:t>Priority Rights auction</w:t>
      </w:r>
      <w:r w:rsidR="00A06E4A">
        <w:t>:</w:t>
      </w:r>
    </w:p>
    <w:p w14:paraId="2E6F0470" w14:textId="25C71178" w:rsidR="00806979" w:rsidRDefault="00806979" w:rsidP="00806979">
      <w:pPr>
        <w:pStyle w:val="Numberedsubparagraph"/>
        <w:numPr>
          <w:ilvl w:val="1"/>
          <w:numId w:val="35"/>
        </w:numPr>
        <w:rPr>
          <w:lang w:eastAsia="en-US"/>
        </w:rPr>
      </w:pPr>
      <w:r>
        <w:t>Promote workable competition (and do not create or reward incentives for gaming, hoarding, or other non-competitive outcomes to the fullest practical extent);</w:t>
      </w:r>
    </w:p>
    <w:p w14:paraId="740A0A76" w14:textId="4E295691" w:rsidR="00806979" w:rsidRDefault="00806979" w:rsidP="00806979">
      <w:pPr>
        <w:pStyle w:val="Numberedsubparagraph"/>
        <w:numPr>
          <w:ilvl w:val="1"/>
          <w:numId w:val="35"/>
        </w:numPr>
      </w:pPr>
      <w:r>
        <w:t>Achieve transparency and efficiency in price discovery for the benefit of operations, planning, and investment signalling;</w:t>
      </w:r>
    </w:p>
    <w:p w14:paraId="40403F89" w14:textId="6344AEB9" w:rsidR="00806979" w:rsidRDefault="00806979" w:rsidP="00806979">
      <w:pPr>
        <w:pStyle w:val="Numberedsubparagraph"/>
        <w:numPr>
          <w:ilvl w:val="1"/>
          <w:numId w:val="35"/>
        </w:numPr>
      </w:pPr>
      <w:r>
        <w:t>Do not result in duplicative costs or inefficient expenditure of resources to achieve that which can be achieved more easily another way (transaction efficiency); and</w:t>
      </w:r>
    </w:p>
    <w:p w14:paraId="385C9F4A" w14:textId="11187800" w:rsidR="00806979" w:rsidRDefault="00806979" w:rsidP="00806979">
      <w:pPr>
        <w:pStyle w:val="Numberedsubparagraph"/>
        <w:numPr>
          <w:ilvl w:val="1"/>
          <w:numId w:val="35"/>
        </w:numPr>
      </w:pPr>
      <w:r>
        <w:t>Promote the right balance of least cost (technical or productive efficiency) and highest value (dynamic efficiency) outcomes over the appropriate time frames.</w:t>
      </w:r>
    </w:p>
    <w:p w14:paraId="72C057FC" w14:textId="09D43416" w:rsidR="0057559A" w:rsidRPr="00806979" w:rsidRDefault="0057559A" w:rsidP="0057559A">
      <w:pPr>
        <w:pStyle w:val="Numberedsubparagraph"/>
        <w:numPr>
          <w:ilvl w:val="0"/>
          <w:numId w:val="0"/>
        </w:numPr>
        <w:ind w:left="1800" w:hanging="360"/>
      </w:pPr>
      <w:r>
        <w:t xml:space="preserve">We request the GTAC is amended to reflect these auction objectives. </w:t>
      </w:r>
    </w:p>
    <w:p w14:paraId="526C689B" w14:textId="5EF577F5" w:rsidR="00FD7E04" w:rsidRDefault="00FD7E04" w:rsidP="00FD7E04">
      <w:pPr>
        <w:pStyle w:val="Numberedparagraph"/>
        <w:numPr>
          <w:ilvl w:val="0"/>
          <w:numId w:val="0"/>
        </w:numPr>
        <w:spacing w:before="240" w:after="240"/>
        <w:rPr>
          <w:i/>
        </w:rPr>
      </w:pPr>
      <w:r>
        <w:rPr>
          <w:i/>
        </w:rPr>
        <w:t>Priority Rights arrangements should be removed from the proposed GTAC</w:t>
      </w:r>
    </w:p>
    <w:p w14:paraId="6D9E03D5" w14:textId="0F93875C" w:rsidR="00413DA5" w:rsidRDefault="0057559A" w:rsidP="002A1DE8">
      <w:pPr>
        <w:pStyle w:val="Numberedparagraph"/>
        <w:rPr>
          <w:b w:val="0"/>
        </w:rPr>
      </w:pPr>
      <w:r>
        <w:rPr>
          <w:b w:val="0"/>
        </w:rPr>
        <w:lastRenderedPageBreak/>
        <w:t xml:space="preserve">The above paragraphs outline a number of </w:t>
      </w:r>
      <w:r w:rsidR="00C5043C">
        <w:rPr>
          <w:b w:val="0"/>
        </w:rPr>
        <w:t xml:space="preserve">important design matters </w:t>
      </w:r>
      <w:r>
        <w:rPr>
          <w:b w:val="0"/>
        </w:rPr>
        <w:t xml:space="preserve">which </w:t>
      </w:r>
      <w:r w:rsidR="00C5043C">
        <w:rPr>
          <w:b w:val="0"/>
        </w:rPr>
        <w:t>require</w:t>
      </w:r>
      <w:r w:rsidR="00413DA5">
        <w:rPr>
          <w:b w:val="0"/>
        </w:rPr>
        <w:t xml:space="preserve"> further consideration by First Gas and industry prior to adopting the proposed Priority Rights design in the new </w:t>
      </w:r>
      <w:r w:rsidR="00AF7770">
        <w:rPr>
          <w:b w:val="0"/>
        </w:rPr>
        <w:t>GTAC</w:t>
      </w:r>
      <w:r w:rsidR="00413DA5">
        <w:rPr>
          <w:b w:val="0"/>
        </w:rPr>
        <w:t>.</w:t>
      </w:r>
      <w:r>
        <w:rPr>
          <w:b w:val="0"/>
        </w:rPr>
        <w:t xml:space="preserve"> We note that t</w:t>
      </w:r>
      <w:r w:rsidR="00434595">
        <w:rPr>
          <w:b w:val="0"/>
        </w:rPr>
        <w:t>he GIC’s views would</w:t>
      </w:r>
      <w:r>
        <w:rPr>
          <w:b w:val="0"/>
        </w:rPr>
        <w:t xml:space="preserve"> also</w:t>
      </w:r>
      <w:r w:rsidR="00434595">
        <w:rPr>
          <w:b w:val="0"/>
        </w:rPr>
        <w:t xml:space="preserve"> be advantageous in working through the design matters. </w:t>
      </w:r>
    </w:p>
    <w:p w14:paraId="4BFC9A75" w14:textId="7C605593" w:rsidR="00806979" w:rsidRDefault="00806979" w:rsidP="00806979">
      <w:pPr>
        <w:pStyle w:val="Numberedparagraph"/>
        <w:rPr>
          <w:b w:val="0"/>
        </w:rPr>
      </w:pPr>
      <w:r>
        <w:rPr>
          <w:b w:val="0"/>
        </w:rPr>
        <w:t>The report by our market design</w:t>
      </w:r>
      <w:r w:rsidR="00F77EA8" w:rsidRPr="00F77EA8">
        <w:rPr>
          <w:b w:val="0"/>
        </w:rPr>
        <w:t xml:space="preserve"> </w:t>
      </w:r>
      <w:r w:rsidR="00F77EA8">
        <w:rPr>
          <w:b w:val="0"/>
        </w:rPr>
        <w:t>expert</w:t>
      </w:r>
      <w:r>
        <w:rPr>
          <w:b w:val="0"/>
        </w:rPr>
        <w:t xml:space="preserve">, TLG, also highlights a number </w:t>
      </w:r>
      <w:r w:rsidR="00F55D61">
        <w:rPr>
          <w:b w:val="0"/>
        </w:rPr>
        <w:t xml:space="preserve">of design related matters that need further consideration (refer to </w:t>
      </w:r>
      <w:r>
        <w:rPr>
          <w:b w:val="0"/>
        </w:rPr>
        <w:t xml:space="preserve">section 1.6 </w:t>
      </w:r>
      <w:r w:rsidR="00F55D61">
        <w:rPr>
          <w:b w:val="0"/>
        </w:rPr>
        <w:t>of Appendix A)</w:t>
      </w:r>
      <w:r>
        <w:rPr>
          <w:b w:val="0"/>
        </w:rPr>
        <w:t xml:space="preserve"> and states the following:</w:t>
      </w:r>
    </w:p>
    <w:p w14:paraId="34BE534C" w14:textId="3C247D1F" w:rsidR="00806979" w:rsidRDefault="00806979" w:rsidP="0060741B">
      <w:pPr>
        <w:pStyle w:val="Numberedparagraph"/>
        <w:numPr>
          <w:ilvl w:val="0"/>
          <w:numId w:val="0"/>
        </w:numPr>
        <w:ind w:left="1440" w:right="566"/>
        <w:rPr>
          <w:b w:val="0"/>
        </w:rPr>
      </w:pPr>
      <w:r>
        <w:rPr>
          <w:b w:val="0"/>
        </w:rPr>
        <w:t>“</w:t>
      </w:r>
      <w:r w:rsidRPr="002B7DEC">
        <w:rPr>
          <w:b w:val="0"/>
          <w:i/>
        </w:rPr>
        <w:t>It would surely be prudent to advance the design to the stage of some meaningful simulations or tr</w:t>
      </w:r>
      <w:r w:rsidR="00F77EA8">
        <w:rPr>
          <w:b w:val="0"/>
          <w:i/>
        </w:rPr>
        <w:t>ia</w:t>
      </w:r>
      <w:r w:rsidRPr="002B7DEC">
        <w:rPr>
          <w:b w:val="0"/>
          <w:i/>
        </w:rPr>
        <w:t>ls ahead of committing formally to what is currently described using very few words</w:t>
      </w:r>
      <w:r w:rsidR="00FF76C9">
        <w:rPr>
          <w:b w:val="0"/>
        </w:rPr>
        <w:t>”</w:t>
      </w:r>
      <w:r w:rsidR="00FF76C9">
        <w:rPr>
          <w:rStyle w:val="FootnoteReference"/>
          <w:b w:val="0"/>
        </w:rPr>
        <w:footnoteReference w:id="19"/>
      </w:r>
    </w:p>
    <w:p w14:paraId="2F56FDAC" w14:textId="7D9E586E" w:rsidR="0057559A" w:rsidRDefault="0057559A" w:rsidP="0060741B">
      <w:pPr>
        <w:pStyle w:val="Numberedparagraph"/>
        <w:numPr>
          <w:ilvl w:val="0"/>
          <w:numId w:val="0"/>
        </w:numPr>
        <w:ind w:left="1440" w:right="566"/>
        <w:rPr>
          <w:b w:val="0"/>
        </w:rPr>
      </w:pPr>
      <w:r w:rsidRPr="0057559A">
        <w:rPr>
          <w:b w:val="0"/>
          <w:i/>
        </w:rPr>
        <w:t>“It remains unclear how exactly Priority Rights work in practice, which means that if anything does go wrong with their pricing or implementation or market dynamics, the most inelastic demand</w:t>
      </w:r>
      <w:r w:rsidR="00FF76C9">
        <w:rPr>
          <w:b w:val="0"/>
          <w:i/>
        </w:rPr>
        <w:t>er</w:t>
      </w:r>
      <w:r w:rsidRPr="0057559A">
        <w:rPr>
          <w:b w:val="0"/>
          <w:i/>
        </w:rPr>
        <w:t xml:space="preserve"> of firm service will bear the brunt of a</w:t>
      </w:r>
      <w:r w:rsidR="00FF76C9">
        <w:rPr>
          <w:b w:val="0"/>
          <w:i/>
        </w:rPr>
        <w:t>n</w:t>
      </w:r>
      <w:r w:rsidRPr="0057559A">
        <w:rPr>
          <w:b w:val="0"/>
          <w:i/>
        </w:rPr>
        <w:t xml:space="preserve"> “learning process”.</w:t>
      </w:r>
      <w:r w:rsidR="00FF76C9">
        <w:rPr>
          <w:rStyle w:val="FootnoteReference"/>
          <w:b w:val="0"/>
          <w:i/>
        </w:rPr>
        <w:footnoteReference w:id="20"/>
      </w:r>
    </w:p>
    <w:p w14:paraId="357D29C7" w14:textId="1693C87C" w:rsidR="00413DA5" w:rsidRDefault="00413DA5" w:rsidP="002A1DE8">
      <w:pPr>
        <w:pStyle w:val="Numberedparagraph"/>
        <w:rPr>
          <w:b w:val="0"/>
        </w:rPr>
      </w:pPr>
      <w:r>
        <w:rPr>
          <w:b w:val="0"/>
        </w:rPr>
        <w:t>As outlined above, we consider that the best option is for First Gas to remove the proposed Priority Rights arrangements</w:t>
      </w:r>
      <w:r w:rsidR="00C5043C">
        <w:rPr>
          <w:b w:val="0"/>
        </w:rPr>
        <w:t xml:space="preserve"> from the current proposed </w:t>
      </w:r>
      <w:r w:rsidR="00AF7770">
        <w:rPr>
          <w:b w:val="0"/>
        </w:rPr>
        <w:t>GTAC</w:t>
      </w:r>
      <w:r w:rsidR="00C5043C">
        <w:rPr>
          <w:b w:val="0"/>
        </w:rPr>
        <w:t xml:space="preserve">. We suggest that First Gas arranges a discussion with industry to seek commitment to </w:t>
      </w:r>
      <w:r>
        <w:rPr>
          <w:b w:val="0"/>
        </w:rPr>
        <w:t xml:space="preserve">design a resilient and robust arrangement </w:t>
      </w:r>
      <w:r w:rsidR="0057559A">
        <w:rPr>
          <w:b w:val="0"/>
        </w:rPr>
        <w:t>for rationing pipeline capacity</w:t>
      </w:r>
      <w:r>
        <w:rPr>
          <w:b w:val="0"/>
        </w:rPr>
        <w:t xml:space="preserve"> over the 12 months following implementation of the new </w:t>
      </w:r>
      <w:r w:rsidR="00AF7770">
        <w:rPr>
          <w:b w:val="0"/>
        </w:rPr>
        <w:t>GTAC</w:t>
      </w:r>
      <w:r>
        <w:rPr>
          <w:b w:val="0"/>
        </w:rPr>
        <w:t xml:space="preserve">. </w:t>
      </w:r>
      <w:r w:rsidR="00F05119">
        <w:rPr>
          <w:b w:val="0"/>
        </w:rPr>
        <w:t xml:space="preserve"> We believe that this will allow a fit</w:t>
      </w:r>
      <w:r w:rsidR="00F77EA8">
        <w:rPr>
          <w:b w:val="0"/>
        </w:rPr>
        <w:t>–</w:t>
      </w:r>
      <w:r w:rsidR="00F05119">
        <w:rPr>
          <w:b w:val="0"/>
        </w:rPr>
        <w:t>for</w:t>
      </w:r>
      <w:r w:rsidR="00F77EA8">
        <w:rPr>
          <w:b w:val="0"/>
        </w:rPr>
        <w:t>-</w:t>
      </w:r>
      <w:r w:rsidR="00F05119">
        <w:rPr>
          <w:b w:val="0"/>
        </w:rPr>
        <w:t xml:space="preserve">purpose solution to be developed, once the industry has operational experience around how the GTAC will work. </w:t>
      </w:r>
      <w:r>
        <w:rPr>
          <w:b w:val="0"/>
        </w:rPr>
        <w:t xml:space="preserve">An expert </w:t>
      </w:r>
      <w:r w:rsidR="00F77EA8">
        <w:rPr>
          <w:b w:val="0"/>
        </w:rPr>
        <w:t xml:space="preserve">in </w:t>
      </w:r>
      <w:r>
        <w:rPr>
          <w:b w:val="0"/>
        </w:rPr>
        <w:t>market design could also be engaged during this period to ensure the current</w:t>
      </w:r>
      <w:r w:rsidR="0057559A">
        <w:rPr>
          <w:b w:val="0"/>
        </w:rPr>
        <w:t>ly identified</w:t>
      </w:r>
      <w:r>
        <w:rPr>
          <w:b w:val="0"/>
        </w:rPr>
        <w:t xml:space="preserve"> pitfalls with the arrangements can be avoided. </w:t>
      </w:r>
    </w:p>
    <w:p w14:paraId="17DE1958" w14:textId="46E33530" w:rsidR="00413DA5" w:rsidRDefault="00413DA5" w:rsidP="002A1DE8">
      <w:pPr>
        <w:pStyle w:val="Numberedparagraph"/>
        <w:rPr>
          <w:b w:val="0"/>
        </w:rPr>
      </w:pPr>
      <w:r>
        <w:rPr>
          <w:b w:val="0"/>
        </w:rPr>
        <w:t xml:space="preserve">To the extent that First Gas may attempt to address these issues at this stage in the development of the </w:t>
      </w:r>
      <w:r w:rsidR="00AF7770">
        <w:rPr>
          <w:b w:val="0"/>
        </w:rPr>
        <w:t>GTAC</w:t>
      </w:r>
      <w:r>
        <w:rPr>
          <w:b w:val="0"/>
        </w:rPr>
        <w:t>, we note that any s</w:t>
      </w:r>
      <w:r w:rsidR="00C5043C">
        <w:rPr>
          <w:b w:val="0"/>
        </w:rPr>
        <w:t xml:space="preserve">ubstantive design change will require </w:t>
      </w:r>
      <w:r>
        <w:rPr>
          <w:b w:val="0"/>
        </w:rPr>
        <w:t xml:space="preserve">further </w:t>
      </w:r>
      <w:r w:rsidR="007C35D4">
        <w:rPr>
          <w:b w:val="0"/>
        </w:rPr>
        <w:t xml:space="preserve">discussion </w:t>
      </w:r>
      <w:r>
        <w:rPr>
          <w:b w:val="0"/>
        </w:rPr>
        <w:t>with industry</w:t>
      </w:r>
      <w:r w:rsidR="00C5043C">
        <w:rPr>
          <w:b w:val="0"/>
        </w:rPr>
        <w:t>.</w:t>
      </w:r>
      <w:r>
        <w:rPr>
          <w:b w:val="0"/>
        </w:rPr>
        <w:t xml:space="preserve"> </w:t>
      </w:r>
    </w:p>
    <w:p w14:paraId="16470F92" w14:textId="41145572" w:rsidR="00D32CD7" w:rsidRDefault="001533BA" w:rsidP="00D938C7">
      <w:pPr>
        <w:pStyle w:val="Numberedsubheading"/>
      </w:pPr>
      <w:bookmarkStart w:id="43" w:name="_Ref494706064"/>
      <w:bookmarkStart w:id="44" w:name="_Toc495327989"/>
      <w:r>
        <w:t>Com</w:t>
      </w:r>
      <w:r w:rsidR="00D32CD7">
        <w:t xml:space="preserve">pliance body </w:t>
      </w:r>
      <w:r>
        <w:t xml:space="preserve">required to ensure </w:t>
      </w:r>
      <w:r w:rsidR="00C930DC">
        <w:t xml:space="preserve">workably </w:t>
      </w:r>
      <w:r>
        <w:t>competitive market outcomes eventuate</w:t>
      </w:r>
      <w:bookmarkEnd w:id="43"/>
      <w:bookmarkEnd w:id="44"/>
    </w:p>
    <w:p w14:paraId="0A7E463B" w14:textId="39C2AAF5" w:rsidR="00D072D5" w:rsidRPr="00BE368A" w:rsidRDefault="00326752" w:rsidP="00BE368A">
      <w:pPr>
        <w:pStyle w:val="Numberedparagraph"/>
        <w:rPr>
          <w:b w:val="0"/>
        </w:rPr>
      </w:pPr>
      <w:r w:rsidRPr="00BE368A">
        <w:rPr>
          <w:b w:val="0"/>
        </w:rPr>
        <w:t>Most market structures are impacted by</w:t>
      </w:r>
      <w:r w:rsidR="009746DD" w:rsidRPr="00BE368A">
        <w:rPr>
          <w:b w:val="0"/>
        </w:rPr>
        <w:t xml:space="preserve"> a degree of market power</w:t>
      </w:r>
      <w:r w:rsidRPr="00BE368A">
        <w:rPr>
          <w:b w:val="0"/>
        </w:rPr>
        <w:t xml:space="preserve">. The </w:t>
      </w:r>
      <w:r w:rsidR="007E22F3">
        <w:rPr>
          <w:b w:val="0"/>
        </w:rPr>
        <w:t>New Zealand</w:t>
      </w:r>
      <w:r w:rsidRPr="00BE368A">
        <w:rPr>
          <w:b w:val="0"/>
        </w:rPr>
        <w:t xml:space="preserve"> gas industry is no exception, with a significant concentration of market share held by one large co</w:t>
      </w:r>
      <w:r w:rsidR="00A14730">
        <w:rPr>
          <w:b w:val="0"/>
        </w:rPr>
        <w:t>nsumer and the retail gas industry</w:t>
      </w:r>
      <w:r w:rsidRPr="00BE368A">
        <w:rPr>
          <w:b w:val="0"/>
        </w:rPr>
        <w:t xml:space="preserve"> dominated by a couple of large retailers. This is however not in its self </w:t>
      </w:r>
      <w:r w:rsidR="009746DD" w:rsidRPr="00BE368A">
        <w:rPr>
          <w:b w:val="0"/>
        </w:rPr>
        <w:t xml:space="preserve">a problem. It is </w:t>
      </w:r>
      <w:r w:rsidRPr="00BE368A">
        <w:rPr>
          <w:b w:val="0"/>
        </w:rPr>
        <w:t xml:space="preserve">only </w:t>
      </w:r>
      <w:r w:rsidR="009746DD" w:rsidRPr="00BE368A">
        <w:rPr>
          <w:b w:val="0"/>
        </w:rPr>
        <w:t xml:space="preserve">where a </w:t>
      </w:r>
      <w:r w:rsidR="007E22F3">
        <w:rPr>
          <w:b w:val="0"/>
        </w:rPr>
        <w:t>party</w:t>
      </w:r>
      <w:r w:rsidR="009746DD" w:rsidRPr="00BE368A">
        <w:rPr>
          <w:b w:val="0"/>
        </w:rPr>
        <w:t xml:space="preserve"> decides to exercise its market power that issues arise. </w:t>
      </w:r>
      <w:r w:rsidR="00772B4B" w:rsidRPr="00BE368A">
        <w:rPr>
          <w:b w:val="0"/>
        </w:rPr>
        <w:t xml:space="preserve"> As a result i</w:t>
      </w:r>
      <w:r w:rsidR="009746DD" w:rsidRPr="00BE368A">
        <w:rPr>
          <w:b w:val="0"/>
        </w:rPr>
        <w:t xml:space="preserve">t has long been recognised that perfect competition is not an achievable standard but rather </w:t>
      </w:r>
      <w:r w:rsidR="0059147C" w:rsidRPr="00BE368A">
        <w:rPr>
          <w:b w:val="0"/>
        </w:rPr>
        <w:t>recreating workably competitive outcomes</w:t>
      </w:r>
      <w:r w:rsidR="009746DD" w:rsidRPr="00BE368A">
        <w:rPr>
          <w:b w:val="0"/>
        </w:rPr>
        <w:t xml:space="preserve"> has become the standard sought by the majority of market designs around the world</w:t>
      </w:r>
      <w:r w:rsidR="0059147C" w:rsidRPr="000E183D">
        <w:rPr>
          <w:rStyle w:val="FootnoteReference"/>
          <w:b w:val="0"/>
        </w:rPr>
        <w:footnoteReference w:id="21"/>
      </w:r>
      <w:r w:rsidR="009746DD" w:rsidRPr="00BE368A">
        <w:rPr>
          <w:b w:val="0"/>
        </w:rPr>
        <w:t>.</w:t>
      </w:r>
      <w:r w:rsidR="00772B4B" w:rsidRPr="00BE368A">
        <w:rPr>
          <w:b w:val="0"/>
        </w:rPr>
        <w:t xml:space="preserve"> </w:t>
      </w:r>
    </w:p>
    <w:p w14:paraId="763E538A" w14:textId="27B5ACA7" w:rsidR="00A12A10" w:rsidRPr="00BE368A" w:rsidRDefault="00326752" w:rsidP="00BE368A">
      <w:pPr>
        <w:pStyle w:val="Numberedparagraph"/>
        <w:rPr>
          <w:b w:val="0"/>
        </w:rPr>
      </w:pPr>
      <w:r w:rsidRPr="00BE368A">
        <w:rPr>
          <w:b w:val="0"/>
        </w:rPr>
        <w:t>Given the</w:t>
      </w:r>
      <w:r w:rsidR="00772B4B" w:rsidRPr="00BE368A">
        <w:rPr>
          <w:b w:val="0"/>
        </w:rPr>
        <w:t xml:space="preserve"> </w:t>
      </w:r>
      <w:r w:rsidRPr="00BE368A">
        <w:rPr>
          <w:b w:val="0"/>
        </w:rPr>
        <w:t xml:space="preserve">significant concentration of the NZ gas industry, we consider that </w:t>
      </w:r>
      <w:r w:rsidR="00C930DC" w:rsidRPr="00BE368A">
        <w:rPr>
          <w:b w:val="0"/>
        </w:rPr>
        <w:t>the</w:t>
      </w:r>
      <w:r w:rsidR="0073141F" w:rsidRPr="00BE368A">
        <w:rPr>
          <w:b w:val="0"/>
        </w:rPr>
        <w:t>re is the</w:t>
      </w:r>
      <w:r w:rsidR="00C930DC" w:rsidRPr="00BE368A">
        <w:rPr>
          <w:b w:val="0"/>
        </w:rPr>
        <w:t xml:space="preserve"> potential for </w:t>
      </w:r>
      <w:r w:rsidR="00A12A10" w:rsidRPr="00BE368A">
        <w:rPr>
          <w:b w:val="0"/>
        </w:rPr>
        <w:t xml:space="preserve">actual </w:t>
      </w:r>
      <w:r w:rsidR="00C930DC" w:rsidRPr="00BE368A">
        <w:rPr>
          <w:b w:val="0"/>
        </w:rPr>
        <w:t>outcomes to deviate from workably competitive outcomes</w:t>
      </w:r>
      <w:r w:rsidR="003F6CD8">
        <w:rPr>
          <w:b w:val="0"/>
        </w:rPr>
        <w:t xml:space="preserve"> under the </w:t>
      </w:r>
      <w:r w:rsidR="00AF7770">
        <w:rPr>
          <w:b w:val="0"/>
        </w:rPr>
        <w:t>GTAC</w:t>
      </w:r>
      <w:r w:rsidR="00A12A10" w:rsidRPr="00BE368A">
        <w:rPr>
          <w:b w:val="0"/>
        </w:rPr>
        <w:t>. Without sufficient mitigation and oversight there is a risk of substantial consumer harm in the short term from market power related behaviour. Identifying where a</w:t>
      </w:r>
      <w:r w:rsidR="00D05506" w:rsidRPr="00BE368A">
        <w:rPr>
          <w:b w:val="0"/>
        </w:rPr>
        <w:t>n</w:t>
      </w:r>
      <w:r w:rsidR="00A12A10" w:rsidRPr="00BE368A">
        <w:rPr>
          <w:b w:val="0"/>
        </w:rPr>
        <w:t xml:space="preserve"> unreasonable use of market power, i.e. a substantial deviation from competitive outcomes has occurred</w:t>
      </w:r>
      <w:r w:rsidR="003F6CD8">
        <w:rPr>
          <w:b w:val="0"/>
        </w:rPr>
        <w:t>,</w:t>
      </w:r>
      <w:r w:rsidR="00A12A10" w:rsidRPr="00BE368A">
        <w:rPr>
          <w:b w:val="0"/>
        </w:rPr>
        <w:t xml:space="preserve"> should be the role of a compliance body or market monitor.</w:t>
      </w:r>
      <w:r w:rsidR="000E183D">
        <w:rPr>
          <w:b w:val="0"/>
        </w:rPr>
        <w:t xml:space="preserve"> T</w:t>
      </w:r>
      <w:r w:rsidR="00A14730">
        <w:rPr>
          <w:b w:val="0"/>
        </w:rPr>
        <w:t xml:space="preserve">his will ensure that all industry </w:t>
      </w:r>
      <w:r w:rsidR="000E183D">
        <w:rPr>
          <w:b w:val="0"/>
        </w:rPr>
        <w:t xml:space="preserve">participants and customers are protected through vigilant and fair oversight of the GTAC arrangements. </w:t>
      </w:r>
    </w:p>
    <w:p w14:paraId="322CC5BB" w14:textId="0D9BAED9" w:rsidR="00361DFC" w:rsidRPr="00BE368A" w:rsidRDefault="00361DFC" w:rsidP="00BE368A">
      <w:pPr>
        <w:pStyle w:val="Numberedparagraph"/>
        <w:rPr>
          <w:b w:val="0"/>
        </w:rPr>
      </w:pPr>
      <w:r w:rsidRPr="00BE368A">
        <w:rPr>
          <w:b w:val="0"/>
        </w:rPr>
        <w:lastRenderedPageBreak/>
        <w:t>W</w:t>
      </w:r>
      <w:r w:rsidR="00A53065" w:rsidRPr="00BE368A">
        <w:rPr>
          <w:b w:val="0"/>
        </w:rPr>
        <w:t>e continue to be of the view that e</w:t>
      </w:r>
      <w:r w:rsidR="003F6CD8">
        <w:rPr>
          <w:b w:val="0"/>
        </w:rPr>
        <w:t>nsuring workably</w:t>
      </w:r>
      <w:r w:rsidR="00772B4B" w:rsidRPr="00BE368A">
        <w:rPr>
          <w:b w:val="0"/>
        </w:rPr>
        <w:t xml:space="preserve"> </w:t>
      </w:r>
      <w:r w:rsidR="00A43462" w:rsidRPr="00BE368A">
        <w:rPr>
          <w:b w:val="0"/>
        </w:rPr>
        <w:t>competiti</w:t>
      </w:r>
      <w:r w:rsidR="00434595">
        <w:rPr>
          <w:b w:val="0"/>
        </w:rPr>
        <w:t>ve outcomes</w:t>
      </w:r>
      <w:r w:rsidR="00A43462" w:rsidRPr="00BE368A">
        <w:rPr>
          <w:b w:val="0"/>
        </w:rPr>
        <w:t xml:space="preserve"> arises</w:t>
      </w:r>
      <w:r w:rsidR="00A53065" w:rsidRPr="00BE368A">
        <w:rPr>
          <w:b w:val="0"/>
        </w:rPr>
        <w:t>,</w:t>
      </w:r>
      <w:r w:rsidR="00A43462" w:rsidRPr="00BE368A">
        <w:rPr>
          <w:b w:val="0"/>
        </w:rPr>
        <w:t xml:space="preserve"> </w:t>
      </w:r>
      <w:r w:rsidR="00D072D5" w:rsidRPr="00BE368A">
        <w:rPr>
          <w:b w:val="0"/>
        </w:rPr>
        <w:t>through establishing appropriate market power mitigation arrangements</w:t>
      </w:r>
      <w:r w:rsidR="00D072D5" w:rsidRPr="000E183D">
        <w:rPr>
          <w:rStyle w:val="FootnoteReference"/>
          <w:b w:val="0"/>
        </w:rPr>
        <w:footnoteReference w:id="22"/>
      </w:r>
      <w:r w:rsidR="00D072D5" w:rsidRPr="00BE368A">
        <w:rPr>
          <w:b w:val="0"/>
        </w:rPr>
        <w:t xml:space="preserve"> </w:t>
      </w:r>
      <w:r w:rsidR="00A43462" w:rsidRPr="00BE368A">
        <w:rPr>
          <w:b w:val="0"/>
        </w:rPr>
        <w:t xml:space="preserve">should be a core design element of the </w:t>
      </w:r>
      <w:r w:rsidR="00AF7770">
        <w:rPr>
          <w:b w:val="0"/>
        </w:rPr>
        <w:t>GTAC</w:t>
      </w:r>
      <w:r w:rsidR="00BA5D7C" w:rsidRPr="00BE368A">
        <w:rPr>
          <w:b w:val="0"/>
        </w:rPr>
        <w:t xml:space="preserve">, </w:t>
      </w:r>
      <w:r w:rsidR="00A12A10" w:rsidRPr="00BE368A">
        <w:rPr>
          <w:b w:val="0"/>
        </w:rPr>
        <w:t>particularly with respect to the proposed Priority Rights arrang</w:t>
      </w:r>
      <w:r w:rsidR="005A5D71" w:rsidRPr="00BE368A">
        <w:rPr>
          <w:b w:val="0"/>
        </w:rPr>
        <w:t>e</w:t>
      </w:r>
      <w:r w:rsidR="00A12A10" w:rsidRPr="00BE368A">
        <w:rPr>
          <w:b w:val="0"/>
        </w:rPr>
        <w:t>ments (including the auction</w:t>
      </w:r>
      <w:r w:rsidR="00F77EA8">
        <w:rPr>
          <w:b w:val="0"/>
        </w:rPr>
        <w:t>,</w:t>
      </w:r>
      <w:r w:rsidR="00A12A10" w:rsidRPr="00BE368A">
        <w:rPr>
          <w:b w:val="0"/>
        </w:rPr>
        <w:t xml:space="preserve"> and on</w:t>
      </w:r>
      <w:r w:rsidR="00F77EA8">
        <w:rPr>
          <w:b w:val="0"/>
        </w:rPr>
        <w:t>-</w:t>
      </w:r>
      <w:r w:rsidR="00A12A10" w:rsidRPr="00BE368A">
        <w:rPr>
          <w:b w:val="0"/>
        </w:rPr>
        <w:t>the</w:t>
      </w:r>
      <w:r w:rsidR="00F77EA8">
        <w:rPr>
          <w:b w:val="0"/>
        </w:rPr>
        <w:t>-</w:t>
      </w:r>
      <w:r w:rsidR="00A12A10" w:rsidRPr="00BE368A">
        <w:rPr>
          <w:b w:val="0"/>
        </w:rPr>
        <w:t>day arrangements for nominations)</w:t>
      </w:r>
      <w:r w:rsidR="00A43462" w:rsidRPr="00BE368A">
        <w:rPr>
          <w:b w:val="0"/>
        </w:rPr>
        <w:t xml:space="preserve">. </w:t>
      </w:r>
      <w:r w:rsidRPr="00BE368A">
        <w:rPr>
          <w:b w:val="0"/>
        </w:rPr>
        <w:t xml:space="preserve">Even the perception that the relatively high level of market concentration in the New Zealand gas </w:t>
      </w:r>
      <w:r w:rsidR="009A61A2">
        <w:rPr>
          <w:b w:val="0"/>
        </w:rPr>
        <w:t>industry</w:t>
      </w:r>
      <w:r w:rsidR="009A61A2" w:rsidRPr="00BE368A">
        <w:rPr>
          <w:b w:val="0"/>
        </w:rPr>
        <w:t xml:space="preserve"> </w:t>
      </w:r>
      <w:r w:rsidRPr="00BE368A">
        <w:rPr>
          <w:b w:val="0"/>
        </w:rPr>
        <w:t>could result i</w:t>
      </w:r>
      <w:r w:rsidR="003F6CD8">
        <w:rPr>
          <w:b w:val="0"/>
        </w:rPr>
        <w:t>n limited competitive pressure c</w:t>
      </w:r>
      <w:r w:rsidRPr="00BE368A">
        <w:rPr>
          <w:b w:val="0"/>
        </w:rPr>
        <w:t>ould create a potential barrier to entry, regardless of whether any non-competitive behaviours actually eventuate. As a result it is imperative that market power mitigation arrangements are incorporated</w:t>
      </w:r>
      <w:r w:rsidR="003F6CD8">
        <w:rPr>
          <w:b w:val="0"/>
        </w:rPr>
        <w:t xml:space="preserve"> into the </w:t>
      </w:r>
      <w:r w:rsidR="00AF7770">
        <w:rPr>
          <w:b w:val="0"/>
        </w:rPr>
        <w:t>GTAC</w:t>
      </w:r>
      <w:r w:rsidRPr="00BE368A">
        <w:rPr>
          <w:b w:val="0"/>
        </w:rPr>
        <w:t xml:space="preserve">. </w:t>
      </w:r>
    </w:p>
    <w:p w14:paraId="3E241853" w14:textId="7507CBC2" w:rsidR="000E183D" w:rsidRDefault="00361DFC" w:rsidP="00BE368A">
      <w:pPr>
        <w:pStyle w:val="Numberedparagraph"/>
        <w:rPr>
          <w:b w:val="0"/>
        </w:rPr>
      </w:pPr>
      <w:r w:rsidRPr="00BE368A">
        <w:rPr>
          <w:b w:val="0"/>
        </w:rPr>
        <w:t>The failure to adequately consider this important matter to date</w:t>
      </w:r>
      <w:r w:rsidRPr="000E183D">
        <w:rPr>
          <w:rStyle w:val="FootnoteReference"/>
          <w:b w:val="0"/>
        </w:rPr>
        <w:footnoteReference w:id="23"/>
      </w:r>
      <w:r w:rsidRPr="000E183D">
        <w:rPr>
          <w:b w:val="0"/>
          <w:vertAlign w:val="superscript"/>
        </w:rPr>
        <w:t xml:space="preserve"> </w:t>
      </w:r>
      <w:r w:rsidRPr="00BE368A">
        <w:rPr>
          <w:b w:val="0"/>
        </w:rPr>
        <w:t xml:space="preserve">in our view represents a significant gap in the </w:t>
      </w:r>
      <w:r w:rsidR="00AF7770">
        <w:rPr>
          <w:b w:val="0"/>
        </w:rPr>
        <w:t>GTAC</w:t>
      </w:r>
      <w:r w:rsidRPr="00BE368A">
        <w:rPr>
          <w:b w:val="0"/>
        </w:rPr>
        <w:t xml:space="preserve"> negotiation process</w:t>
      </w:r>
      <w:r w:rsidR="00F77EA8">
        <w:rPr>
          <w:b w:val="0"/>
        </w:rPr>
        <w:t>,</w:t>
      </w:r>
      <w:r w:rsidRPr="00BE368A">
        <w:rPr>
          <w:b w:val="0"/>
        </w:rPr>
        <w:t xml:space="preserve"> which will potentially have implications for the success of promoting the use of natural gas in NZ. </w:t>
      </w:r>
    </w:p>
    <w:p w14:paraId="01D87CD3" w14:textId="660F07A3" w:rsidR="00C754B1" w:rsidRDefault="00FB7EA3" w:rsidP="00BE368A">
      <w:pPr>
        <w:pStyle w:val="Numberedparagraph"/>
        <w:rPr>
          <w:b w:val="0"/>
        </w:rPr>
      </w:pPr>
      <w:r>
        <w:rPr>
          <w:b w:val="0"/>
        </w:rPr>
        <w:t>We note that there are strong links between the current circumstances of the gas industry and those of the electricity industry in the early 2000</w:t>
      </w:r>
      <w:r w:rsidR="0038053B">
        <w:rPr>
          <w:b w:val="0"/>
        </w:rPr>
        <w:t>’</w:t>
      </w:r>
      <w:r>
        <w:rPr>
          <w:b w:val="0"/>
        </w:rPr>
        <w:t xml:space="preserve">s. In particular, </w:t>
      </w:r>
      <w:r w:rsidR="000E183D">
        <w:rPr>
          <w:b w:val="0"/>
        </w:rPr>
        <w:t>one of the reasons for the establishment of the Electricity Commission in 2003</w:t>
      </w:r>
      <w:r w:rsidR="005B5AF3">
        <w:rPr>
          <w:b w:val="0"/>
        </w:rPr>
        <w:t xml:space="preserve"> and a move away from the previous self-regulating arrangements,</w:t>
      </w:r>
      <w:r w:rsidR="000E183D">
        <w:rPr>
          <w:b w:val="0"/>
        </w:rPr>
        <w:t xml:space="preserve"> was that the Minis</w:t>
      </w:r>
      <w:r w:rsidR="009B7348">
        <w:rPr>
          <w:b w:val="0"/>
        </w:rPr>
        <w:t>terial Inquiry (2000) identified</w:t>
      </w:r>
      <w:r w:rsidR="000E183D">
        <w:rPr>
          <w:b w:val="0"/>
        </w:rPr>
        <w:t xml:space="preserve"> </w:t>
      </w:r>
      <w:r w:rsidR="009B7348">
        <w:rPr>
          <w:b w:val="0"/>
        </w:rPr>
        <w:t>a number of issues</w:t>
      </w:r>
      <w:r w:rsidR="004726E6">
        <w:rPr>
          <w:b w:val="0"/>
        </w:rPr>
        <w:t xml:space="preserve"> </w:t>
      </w:r>
      <w:r w:rsidR="000E183D">
        <w:rPr>
          <w:b w:val="0"/>
        </w:rPr>
        <w:t>with the electricity market structure</w:t>
      </w:r>
      <w:r w:rsidR="009B7348">
        <w:rPr>
          <w:b w:val="0"/>
        </w:rPr>
        <w:t xml:space="preserve"> including</w:t>
      </w:r>
      <w:r w:rsidR="005B5AF3">
        <w:rPr>
          <w:rStyle w:val="FootnoteReference"/>
          <w:b w:val="0"/>
        </w:rPr>
        <w:footnoteReference w:id="24"/>
      </w:r>
      <w:r w:rsidR="000E183D">
        <w:rPr>
          <w:b w:val="0"/>
        </w:rPr>
        <w:t>:</w:t>
      </w:r>
    </w:p>
    <w:p w14:paraId="71A9A85B" w14:textId="5BF91E00" w:rsidR="00FB7EA3" w:rsidRPr="00FB7EA3" w:rsidRDefault="000E183D" w:rsidP="0060741B">
      <w:pPr>
        <w:pStyle w:val="Quotation"/>
        <w:ind w:left="1560" w:right="566" w:hanging="567"/>
        <w:jc w:val="both"/>
        <w:rPr>
          <w:rFonts w:asciiTheme="minorHAnsi" w:hAnsiTheme="minorHAnsi" w:cstheme="minorHAnsi"/>
          <w:i/>
          <w:sz w:val="22"/>
          <w:szCs w:val="22"/>
          <w:lang w:val="en"/>
        </w:rPr>
      </w:pPr>
      <w:r w:rsidRPr="00FB7EA3">
        <w:rPr>
          <w:rFonts w:asciiTheme="minorHAnsi" w:hAnsiTheme="minorHAnsi" w:cstheme="minorHAnsi"/>
          <w:i/>
          <w:sz w:val="22"/>
          <w:szCs w:val="22"/>
        </w:rPr>
        <w:t>“</w:t>
      </w:r>
      <w:r w:rsidR="00FB7EA3" w:rsidRPr="00FB7EA3">
        <w:rPr>
          <w:rFonts w:asciiTheme="minorHAnsi" w:hAnsiTheme="minorHAnsi" w:cstheme="minorHAnsi"/>
          <w:i/>
          <w:sz w:val="22"/>
          <w:szCs w:val="22"/>
          <w:lang w:val="en"/>
        </w:rPr>
        <w:t>2.14 -The wholesale market was dominated by a small number of electricity generation companies and retailers that also dominated the market's governance bodies (NZEM and MARIA).</w:t>
      </w:r>
    </w:p>
    <w:p w14:paraId="14AC99F5" w14:textId="13FBDA4A" w:rsidR="00FB7EA3" w:rsidRPr="00FB7EA3" w:rsidRDefault="00FB7EA3" w:rsidP="0060741B">
      <w:pPr>
        <w:pStyle w:val="Quotation"/>
        <w:ind w:left="1560" w:right="566" w:hanging="567"/>
        <w:jc w:val="both"/>
        <w:rPr>
          <w:rFonts w:asciiTheme="minorHAnsi" w:hAnsiTheme="minorHAnsi" w:cstheme="minorHAnsi"/>
          <w:i/>
          <w:sz w:val="22"/>
          <w:szCs w:val="22"/>
          <w:lang w:val="en"/>
        </w:rPr>
      </w:pPr>
      <w:r w:rsidRPr="00FB7EA3">
        <w:rPr>
          <w:rFonts w:asciiTheme="minorHAnsi" w:hAnsiTheme="minorHAnsi" w:cstheme="minorHAnsi"/>
          <w:i/>
          <w:sz w:val="22"/>
          <w:szCs w:val="22"/>
          <w:lang w:val="en"/>
        </w:rPr>
        <w:t>2.15 - Market rules had been developed and implemented in keeping with the interests of those dominant companies. There was limited representation from other market interests. For example, there was a lack of progress in introducing a real-time market, which had in turn hampered greater participation by electricity purchasers and users.</w:t>
      </w:r>
    </w:p>
    <w:p w14:paraId="3C9AF8E3" w14:textId="1F84BC3D" w:rsidR="00FB7EA3" w:rsidRDefault="00FB7EA3" w:rsidP="0060741B">
      <w:pPr>
        <w:pStyle w:val="Quotation"/>
        <w:ind w:left="1560" w:right="566" w:hanging="567"/>
        <w:jc w:val="both"/>
        <w:rPr>
          <w:lang w:val="en"/>
        </w:rPr>
      </w:pPr>
      <w:r w:rsidRPr="00FB7EA3">
        <w:rPr>
          <w:rFonts w:asciiTheme="minorHAnsi" w:hAnsiTheme="minorHAnsi" w:cstheme="minorHAnsi"/>
          <w:i/>
          <w:sz w:val="22"/>
          <w:szCs w:val="22"/>
          <w:lang w:val="en"/>
        </w:rPr>
        <w:t>2.16 - There were also limited incentives to ensure that governance structures, which essentially were self-regulating, gave full effect to the market's guiding principles. There were few sanctions to ensure compliance</w:t>
      </w:r>
      <w:r w:rsidRPr="00FB7EA3">
        <w:rPr>
          <w:lang w:val="en"/>
        </w:rPr>
        <w:t>.”</w:t>
      </w:r>
    </w:p>
    <w:p w14:paraId="2472AA2C" w14:textId="388A5C2F" w:rsidR="005A5D71" w:rsidRPr="00C754B1" w:rsidRDefault="00C754B1" w:rsidP="0085389B">
      <w:pPr>
        <w:pStyle w:val="Numberedparagraph"/>
        <w:keepNext/>
        <w:numPr>
          <w:ilvl w:val="0"/>
          <w:numId w:val="0"/>
        </w:numPr>
        <w:spacing w:before="240" w:after="240"/>
        <w:rPr>
          <w:i/>
        </w:rPr>
      </w:pPr>
      <w:r w:rsidRPr="00C754B1">
        <w:rPr>
          <w:i/>
        </w:rPr>
        <w:t>Scenarios where competitive issues could arise under the</w:t>
      </w:r>
      <w:r w:rsidR="00BA5D7C">
        <w:rPr>
          <w:i/>
        </w:rPr>
        <w:t xml:space="preserve"> </w:t>
      </w:r>
      <w:r w:rsidR="00AF7770">
        <w:rPr>
          <w:i/>
        </w:rPr>
        <w:t>GTAC</w:t>
      </w:r>
    </w:p>
    <w:p w14:paraId="6DC6EC1D" w14:textId="1054DAC6" w:rsidR="006E1CA6" w:rsidRPr="00BE368A" w:rsidRDefault="00B20AEC" w:rsidP="00BE368A">
      <w:pPr>
        <w:pStyle w:val="Numberedparagraph"/>
        <w:rPr>
          <w:b w:val="0"/>
        </w:rPr>
      </w:pPr>
      <w:r w:rsidRPr="00BE368A">
        <w:rPr>
          <w:b w:val="0"/>
        </w:rPr>
        <w:t xml:space="preserve">There are a number of specific scenarios where competitive issues could arise under the proposed </w:t>
      </w:r>
      <w:r w:rsidR="00AF7770">
        <w:rPr>
          <w:b w:val="0"/>
        </w:rPr>
        <w:t>GTAC</w:t>
      </w:r>
      <w:r w:rsidRPr="00BE368A">
        <w:rPr>
          <w:b w:val="0"/>
        </w:rPr>
        <w:t xml:space="preserve"> arrangements. For example it is conceivable that larger Shippers would be able to price smaller Shippers out of the market for Priority Rights, essentially enabling them to hoard capacity</w:t>
      </w:r>
      <w:r w:rsidRPr="00BE368A">
        <w:rPr>
          <w:rStyle w:val="FootnoteReference"/>
          <w:b w:val="0"/>
        </w:rPr>
        <w:footnoteReference w:id="25"/>
      </w:r>
      <w:r w:rsidRPr="00BE368A">
        <w:rPr>
          <w:b w:val="0"/>
        </w:rPr>
        <w:t>.  A smaller participant who is not able to obtain Priority Rights could face significant overrun costs as a result which, given their size, could be hard to absorb as a business. Larger Shippers will be able to smear costs of acquisition across their entire portfolio and keep overall transport costs down to all customers. As a result</w:t>
      </w:r>
      <w:r w:rsidR="006E1CA6" w:rsidRPr="00BE368A">
        <w:rPr>
          <w:b w:val="0"/>
        </w:rPr>
        <w:t>:</w:t>
      </w:r>
    </w:p>
    <w:p w14:paraId="7E8C3A17" w14:textId="3DD1DBBD" w:rsidR="00B20AEC" w:rsidRPr="00BE368A" w:rsidRDefault="006E1CA6" w:rsidP="00361614">
      <w:pPr>
        <w:pStyle w:val="Numberedsubparagraph"/>
        <w:numPr>
          <w:ilvl w:val="0"/>
          <w:numId w:val="30"/>
        </w:numPr>
      </w:pPr>
      <w:r w:rsidRPr="00BE368A">
        <w:lastRenderedPageBreak/>
        <w:t>La</w:t>
      </w:r>
      <w:r w:rsidR="00B20AEC" w:rsidRPr="00BE368A">
        <w:t>rger Shippers will have a significant advantage over smaller Shippers and new entrants under the proposed Priority Rights auction arrangem</w:t>
      </w:r>
      <w:r w:rsidRPr="00BE368A">
        <w:t>ents;</w:t>
      </w:r>
    </w:p>
    <w:p w14:paraId="7EE3A350" w14:textId="19EF5E27" w:rsidR="006E1CA6" w:rsidRPr="00BE368A" w:rsidRDefault="006E1CA6" w:rsidP="00361614">
      <w:pPr>
        <w:pStyle w:val="Numberedsubparagraph"/>
        <w:numPr>
          <w:ilvl w:val="0"/>
          <w:numId w:val="30"/>
        </w:numPr>
      </w:pPr>
      <w:r w:rsidRPr="00BE368A">
        <w:t>There will be an increased barrier to expansion for smaller gas retailers in any given region, which will entrench the positions of large gas retailers in those regions leading to a reduction in competition overall;</w:t>
      </w:r>
    </w:p>
    <w:p w14:paraId="16ED6282" w14:textId="03CB5E3F" w:rsidR="006E1CA6" w:rsidRPr="00BE368A" w:rsidRDefault="006E1CA6" w:rsidP="00361614">
      <w:pPr>
        <w:pStyle w:val="Numberedsubparagraph"/>
        <w:numPr>
          <w:ilvl w:val="0"/>
          <w:numId w:val="30"/>
        </w:numPr>
      </w:pPr>
      <w:r w:rsidRPr="00BE368A">
        <w:t xml:space="preserve">There are no offsetting pro-competitive effects as the regime results in the costs/risks of capacity constraints being place onto </w:t>
      </w:r>
      <w:r w:rsidR="00FA7403">
        <w:t xml:space="preserve">the </w:t>
      </w:r>
      <w:r w:rsidRPr="00BE368A">
        <w:t xml:space="preserve">gas retailer, who will largely have no ability to manage those risks. In particular, in areas that are largely mass market, gas retailers will have no ability to incentivise any physical response to congestion. </w:t>
      </w:r>
    </w:p>
    <w:p w14:paraId="71A93C1A" w14:textId="03F5AAF5" w:rsidR="004724EC" w:rsidRDefault="00B20AEC" w:rsidP="00BE368A">
      <w:pPr>
        <w:pStyle w:val="Numberedparagraph"/>
        <w:rPr>
          <w:b w:val="0"/>
        </w:rPr>
      </w:pPr>
      <w:r w:rsidRPr="00BE368A">
        <w:rPr>
          <w:b w:val="0"/>
        </w:rPr>
        <w:t>This example, along with a number of other potential scenarios where non-competitive outcomes could arise under the proposed Priority Rights arrangements</w:t>
      </w:r>
      <w:r w:rsidR="009C5C58">
        <w:rPr>
          <w:b w:val="0"/>
        </w:rPr>
        <w:t xml:space="preserve"> </w:t>
      </w:r>
      <w:r w:rsidRPr="00BE368A">
        <w:rPr>
          <w:b w:val="0"/>
        </w:rPr>
        <w:t xml:space="preserve">are </w:t>
      </w:r>
      <w:r w:rsidR="004724EC">
        <w:rPr>
          <w:b w:val="0"/>
        </w:rPr>
        <w:t>captured in the expert advice from TLG</w:t>
      </w:r>
      <w:r w:rsidR="00D74BE6">
        <w:rPr>
          <w:b w:val="0"/>
        </w:rPr>
        <w:t>. TLG summarises the issue as follows</w:t>
      </w:r>
      <w:r w:rsidR="000D1750">
        <w:rPr>
          <w:rStyle w:val="FootnoteReference"/>
          <w:b w:val="0"/>
        </w:rPr>
        <w:footnoteReference w:id="26"/>
      </w:r>
      <w:r w:rsidR="004724EC">
        <w:rPr>
          <w:b w:val="0"/>
        </w:rPr>
        <w:t>:</w:t>
      </w:r>
    </w:p>
    <w:p w14:paraId="276BFBC4" w14:textId="13391963" w:rsidR="00B20AEC" w:rsidRPr="004724EC" w:rsidRDefault="004724EC" w:rsidP="0060741B">
      <w:pPr>
        <w:pStyle w:val="Numberedparagraph"/>
        <w:numPr>
          <w:ilvl w:val="0"/>
          <w:numId w:val="0"/>
        </w:numPr>
        <w:ind w:left="1440" w:right="566"/>
        <w:rPr>
          <w:b w:val="0"/>
          <w:i/>
        </w:rPr>
      </w:pPr>
      <w:r w:rsidRPr="004724EC">
        <w:rPr>
          <w:b w:val="0"/>
          <w:i/>
        </w:rPr>
        <w:t xml:space="preserve">“Risk mitigation would </w:t>
      </w:r>
      <w:r w:rsidR="00FF76C9">
        <w:rPr>
          <w:b w:val="0"/>
          <w:i/>
        </w:rPr>
        <w:t>plausibly</w:t>
      </w:r>
      <w:r w:rsidRPr="004724EC">
        <w:rPr>
          <w:b w:val="0"/>
          <w:i/>
        </w:rPr>
        <w:t xml:space="preserve"> force small-customer serving retailers to secure Priority Rights in competition with others. Of course</w:t>
      </w:r>
      <w:r w:rsidR="00FF76C9">
        <w:rPr>
          <w:b w:val="0"/>
          <w:i/>
        </w:rPr>
        <w:t>,</w:t>
      </w:r>
      <w:r w:rsidRPr="004724EC">
        <w:rPr>
          <w:b w:val="0"/>
          <w:i/>
        </w:rPr>
        <w:t xml:space="preserve"> there is nothing necessarily wrong with competition, but given the diversity of customers and retailers, and the possibility</w:t>
      </w:r>
      <w:r w:rsidR="00FF76C9">
        <w:rPr>
          <w:b w:val="0"/>
          <w:i/>
        </w:rPr>
        <w:t>,</w:t>
      </w:r>
      <w:r w:rsidRPr="004724EC">
        <w:rPr>
          <w:b w:val="0"/>
          <w:i/>
        </w:rPr>
        <w:t xml:space="preserve"> even if small, </w:t>
      </w:r>
      <w:r w:rsidRPr="004724EC">
        <w:rPr>
          <w:b w:val="0"/>
          <w:i/>
          <w:u w:val="single"/>
        </w:rPr>
        <w:t>that Priority Rights could be hoarded, gamed, or otherwise competitively weaponised, then it compromises what could otherwise be a simple platform for competition</w:t>
      </w:r>
      <w:r w:rsidRPr="004724EC">
        <w:rPr>
          <w:b w:val="0"/>
          <w:i/>
        </w:rPr>
        <w:t>.”</w:t>
      </w:r>
      <w:r w:rsidRPr="0060741B">
        <w:rPr>
          <w:b w:val="0"/>
          <w:i/>
          <w:sz w:val="16"/>
          <w:szCs w:val="16"/>
        </w:rPr>
        <w:t>(underlining added for emphasis</w:t>
      </w:r>
      <w:r w:rsidRPr="0060741B">
        <w:rPr>
          <w:b w:val="0"/>
          <w:sz w:val="16"/>
          <w:szCs w:val="16"/>
        </w:rPr>
        <w:t>)</w:t>
      </w:r>
      <w:r w:rsidRPr="00FF76C9">
        <w:rPr>
          <w:b w:val="0"/>
        </w:rPr>
        <w:t xml:space="preserve"> </w:t>
      </w:r>
    </w:p>
    <w:p w14:paraId="131D0645" w14:textId="60773BD5" w:rsidR="00B20AEC" w:rsidRPr="00BE368A" w:rsidRDefault="00B20AEC" w:rsidP="00BE368A">
      <w:pPr>
        <w:pStyle w:val="Numberedparagraph"/>
        <w:rPr>
          <w:b w:val="0"/>
        </w:rPr>
      </w:pPr>
      <w:r w:rsidRPr="00BE368A">
        <w:rPr>
          <w:b w:val="0"/>
        </w:rPr>
        <w:t xml:space="preserve">While we have focussed our review on those scenarios which could arise with respect to Priority Rights there may be other additional elements of the </w:t>
      </w:r>
      <w:r w:rsidR="00AF7770">
        <w:rPr>
          <w:b w:val="0"/>
        </w:rPr>
        <w:t>GTAC</w:t>
      </w:r>
      <w:r w:rsidRPr="00BE368A">
        <w:rPr>
          <w:b w:val="0"/>
        </w:rPr>
        <w:t xml:space="preserve"> arrangements where limited competitive pressures could result in a substantial deviation from </w:t>
      </w:r>
      <w:r w:rsidR="00FA7403">
        <w:rPr>
          <w:b w:val="0"/>
        </w:rPr>
        <w:t xml:space="preserve">workably </w:t>
      </w:r>
      <w:r w:rsidRPr="00BE368A">
        <w:rPr>
          <w:b w:val="0"/>
        </w:rPr>
        <w:t xml:space="preserve">competitive outcomes arising. We urge </w:t>
      </w:r>
      <w:r w:rsidR="00434595">
        <w:rPr>
          <w:b w:val="0"/>
        </w:rPr>
        <w:t xml:space="preserve">the GIC to consider </w:t>
      </w:r>
      <w:r w:rsidR="00375F52">
        <w:rPr>
          <w:b w:val="0"/>
        </w:rPr>
        <w:t>whether broader competitive issues could arise under the new GTAC arrangements as part of</w:t>
      </w:r>
      <w:r w:rsidR="00434595">
        <w:rPr>
          <w:b w:val="0"/>
        </w:rPr>
        <w:t xml:space="preserve"> its assessment of whether the GTAC, as a whole, is materially better than the current arrangements. </w:t>
      </w:r>
    </w:p>
    <w:p w14:paraId="757B9417" w14:textId="31D5FBD2" w:rsidR="00B20AEC" w:rsidRPr="00B20AEC" w:rsidRDefault="00B20AEC" w:rsidP="00873E38">
      <w:pPr>
        <w:pStyle w:val="Numberedparagraph"/>
        <w:numPr>
          <w:ilvl w:val="0"/>
          <w:numId w:val="0"/>
        </w:numPr>
        <w:spacing w:before="240" w:after="240"/>
        <w:rPr>
          <w:i/>
        </w:rPr>
      </w:pPr>
      <w:r w:rsidRPr="00B20AEC">
        <w:rPr>
          <w:i/>
        </w:rPr>
        <w:t>Considerations for the establishment of a compliance body</w:t>
      </w:r>
    </w:p>
    <w:p w14:paraId="2DABB174" w14:textId="1C5CB0A5" w:rsidR="003B7C85" w:rsidRPr="00BE368A" w:rsidRDefault="003B7C85" w:rsidP="00BE368A">
      <w:pPr>
        <w:pStyle w:val="Numberedparagraph"/>
        <w:rPr>
          <w:b w:val="0"/>
        </w:rPr>
      </w:pPr>
      <w:r w:rsidRPr="00BE368A">
        <w:rPr>
          <w:b w:val="0"/>
        </w:rPr>
        <w:t xml:space="preserve">As outlined above we consider there is a strong case for the establishment of a compliance body to oversee the </w:t>
      </w:r>
      <w:r w:rsidR="00AF7770">
        <w:rPr>
          <w:b w:val="0"/>
        </w:rPr>
        <w:t>GTAC</w:t>
      </w:r>
      <w:r w:rsidRPr="00BE368A">
        <w:rPr>
          <w:b w:val="0"/>
        </w:rPr>
        <w:t xml:space="preserve"> arrangements.</w:t>
      </w:r>
    </w:p>
    <w:p w14:paraId="7C298FB3" w14:textId="238B2F8B" w:rsidR="00125ADB" w:rsidRPr="00BE368A" w:rsidRDefault="00125ADB" w:rsidP="00BE368A">
      <w:pPr>
        <w:pStyle w:val="Numberedparagraph"/>
        <w:rPr>
          <w:b w:val="0"/>
        </w:rPr>
      </w:pPr>
      <w:bookmarkStart w:id="45" w:name="_Ref494193200"/>
      <w:r w:rsidRPr="00BE368A">
        <w:rPr>
          <w:b w:val="0"/>
        </w:rPr>
        <w:t>We consider that the compliance body should be responsible for:</w:t>
      </w:r>
      <w:bookmarkEnd w:id="45"/>
    </w:p>
    <w:p w14:paraId="2B600119" w14:textId="2492C372" w:rsidR="00632207" w:rsidRPr="00BE368A" w:rsidRDefault="00A057DF" w:rsidP="00361614">
      <w:pPr>
        <w:pStyle w:val="Numberedsubparagraph"/>
        <w:numPr>
          <w:ilvl w:val="0"/>
          <w:numId w:val="26"/>
        </w:numPr>
      </w:pPr>
      <w:r w:rsidRPr="008E7D90">
        <w:rPr>
          <w:u w:val="single"/>
        </w:rPr>
        <w:t xml:space="preserve">Reviewing </w:t>
      </w:r>
      <w:r w:rsidR="00125ADB" w:rsidRPr="008E7D90">
        <w:rPr>
          <w:u w:val="single"/>
        </w:rPr>
        <w:t xml:space="preserve">compliance with the obligations under the </w:t>
      </w:r>
      <w:r w:rsidR="00AF7770" w:rsidRPr="008E7D90">
        <w:rPr>
          <w:u w:val="single"/>
        </w:rPr>
        <w:t>GTAC</w:t>
      </w:r>
      <w:r w:rsidR="00125ADB" w:rsidRPr="00BE368A">
        <w:t xml:space="preserve"> and ensuring workably competitive outcomes arise, particularly with respect to Priority Rights</w:t>
      </w:r>
      <w:r w:rsidR="00632207" w:rsidRPr="00BE368A">
        <w:t xml:space="preserve">; </w:t>
      </w:r>
    </w:p>
    <w:p w14:paraId="61CBC926" w14:textId="2625087B" w:rsidR="00125ADB" w:rsidRPr="00BE368A" w:rsidRDefault="00125ADB" w:rsidP="00BE368A">
      <w:pPr>
        <w:pStyle w:val="Numberedsubparagraph"/>
      </w:pPr>
      <w:r w:rsidRPr="008E7D90">
        <w:rPr>
          <w:u w:val="single"/>
        </w:rPr>
        <w:t>Reporting</w:t>
      </w:r>
      <w:r w:rsidR="00BA5D7C" w:rsidRPr="008E7D90">
        <w:rPr>
          <w:u w:val="single"/>
        </w:rPr>
        <w:t xml:space="preserve"> on the functioning of the </w:t>
      </w:r>
      <w:r w:rsidR="00AF7770" w:rsidRPr="008E7D90">
        <w:rPr>
          <w:u w:val="single"/>
        </w:rPr>
        <w:t>GTAC</w:t>
      </w:r>
      <w:r w:rsidRPr="008E7D90">
        <w:rPr>
          <w:u w:val="single"/>
        </w:rPr>
        <w:t xml:space="preserve"> arrangements on a regular basis</w:t>
      </w:r>
      <w:r w:rsidR="008E7D90">
        <w:t>. We note that this is consistent with First Gas’s suggestion of a post-implementation review of the arrangements being undertaken by the GIC</w:t>
      </w:r>
      <w:r w:rsidRPr="00BE368A">
        <w:t>; and</w:t>
      </w:r>
    </w:p>
    <w:p w14:paraId="21CDA410" w14:textId="1050141D" w:rsidR="00125ADB" w:rsidRPr="00BE368A" w:rsidRDefault="00125ADB" w:rsidP="00BE368A">
      <w:pPr>
        <w:pStyle w:val="Numberedsubparagraph"/>
      </w:pPr>
      <w:r w:rsidRPr="008E7D90">
        <w:rPr>
          <w:u w:val="single"/>
        </w:rPr>
        <w:t xml:space="preserve">Recommending changes to the </w:t>
      </w:r>
      <w:r w:rsidR="00AF7770" w:rsidRPr="008E7D90">
        <w:rPr>
          <w:u w:val="single"/>
        </w:rPr>
        <w:t>GTAC</w:t>
      </w:r>
      <w:r w:rsidR="00BA5D7C" w:rsidRPr="008E7D90">
        <w:rPr>
          <w:u w:val="single"/>
        </w:rPr>
        <w:t xml:space="preserve"> </w:t>
      </w:r>
      <w:r w:rsidRPr="008E7D90">
        <w:rPr>
          <w:u w:val="single"/>
        </w:rPr>
        <w:t>arrangements</w:t>
      </w:r>
      <w:r w:rsidRPr="00BE368A">
        <w:t xml:space="preserve"> to address any identified issues, including </w:t>
      </w:r>
      <w:r w:rsidR="00434595">
        <w:t>further revisions to the</w:t>
      </w:r>
      <w:r w:rsidRPr="00BE368A">
        <w:t xml:space="preserve"> market power mitigation arrangements.</w:t>
      </w:r>
      <w:r w:rsidR="00A057DF">
        <w:t xml:space="preserve"> We note that </w:t>
      </w:r>
      <w:r w:rsidR="003E5DB5">
        <w:t xml:space="preserve">the ability for the compliance body to propose a change to the GTAC </w:t>
      </w:r>
      <w:r w:rsidR="00A057DF">
        <w:t>this doesn’t necessarily need to be a formal ability within the GTAC at this stage</w:t>
      </w:r>
      <w:r w:rsidR="003E5DB5">
        <w:t xml:space="preserve"> – however whether this is problematic should be considered as part of a post-implementation review of the new GTAC arrangements. </w:t>
      </w:r>
    </w:p>
    <w:p w14:paraId="13278730" w14:textId="2816137C" w:rsidR="00125ADB" w:rsidRPr="00632207" w:rsidRDefault="00632207" w:rsidP="00632207">
      <w:pPr>
        <w:pStyle w:val="Numberedparagraph"/>
        <w:rPr>
          <w:b w:val="0"/>
        </w:rPr>
      </w:pPr>
      <w:r w:rsidRPr="00632207">
        <w:rPr>
          <w:b w:val="0"/>
        </w:rPr>
        <w:t xml:space="preserve">With respect to any </w:t>
      </w:r>
      <w:r w:rsidR="00A057DF">
        <w:rPr>
          <w:b w:val="0"/>
        </w:rPr>
        <w:t>compliance review</w:t>
      </w:r>
      <w:r w:rsidRPr="00632207">
        <w:rPr>
          <w:b w:val="0"/>
        </w:rPr>
        <w:t xml:space="preserve"> activities</w:t>
      </w:r>
      <w:r w:rsidR="00FA7403">
        <w:rPr>
          <w:b w:val="0"/>
        </w:rPr>
        <w:t>,</w:t>
      </w:r>
      <w:r w:rsidRPr="00632207">
        <w:rPr>
          <w:b w:val="0"/>
        </w:rPr>
        <w:t xml:space="preserve"> we consider that:</w:t>
      </w:r>
    </w:p>
    <w:p w14:paraId="171FB381" w14:textId="593F42E7" w:rsidR="00632207" w:rsidRPr="00BE368A" w:rsidRDefault="00632207" w:rsidP="00361614">
      <w:pPr>
        <w:pStyle w:val="Numberedsubparagraph"/>
        <w:numPr>
          <w:ilvl w:val="0"/>
          <w:numId w:val="27"/>
        </w:numPr>
      </w:pPr>
      <w:r w:rsidRPr="00BE368A">
        <w:t>It will be</w:t>
      </w:r>
      <w:r w:rsidR="00772B4B" w:rsidRPr="00BE368A">
        <w:t xml:space="preserve"> important </w:t>
      </w:r>
      <w:r w:rsidRPr="00BE368A">
        <w:t xml:space="preserve">for the compliance body </w:t>
      </w:r>
      <w:r w:rsidR="00772B4B" w:rsidRPr="00BE368A">
        <w:t>to set the boundaries for behaviour upfront.</w:t>
      </w:r>
      <w:r w:rsidRPr="00BE368A">
        <w:t xml:space="preserve"> Given the </w:t>
      </w:r>
      <w:r w:rsidR="00AF7770">
        <w:t>GTAC</w:t>
      </w:r>
      <w:r w:rsidRPr="00BE368A">
        <w:t xml:space="preserve"> is a principles</w:t>
      </w:r>
      <w:r w:rsidR="004326EB">
        <w:t>-</w:t>
      </w:r>
      <w:r w:rsidRPr="00BE368A">
        <w:t xml:space="preserve">based </w:t>
      </w:r>
      <w:r w:rsidR="00B7750F">
        <w:t>contract</w:t>
      </w:r>
      <w:r w:rsidRPr="00BE368A">
        <w:t xml:space="preserve">, it may be uncertain in areas what the expected behaviour of </w:t>
      </w:r>
      <w:r w:rsidR="00AF7770">
        <w:t>GTAC</w:t>
      </w:r>
      <w:r w:rsidR="007B4475">
        <w:t xml:space="preserve"> signatories</w:t>
      </w:r>
      <w:r w:rsidRPr="00BE368A">
        <w:t xml:space="preserve"> would be at times. This </w:t>
      </w:r>
      <w:r w:rsidRPr="00BE368A">
        <w:lastRenderedPageBreak/>
        <w:t>is particularly</w:t>
      </w:r>
      <w:r w:rsidR="007B4475">
        <w:t xml:space="preserve"> the case around Priority Rights as the</w:t>
      </w:r>
      <w:r w:rsidRPr="00BE368A">
        <w:t xml:space="preserve"> auction </w:t>
      </w:r>
      <w:r w:rsidR="007B4475">
        <w:t xml:space="preserve">arrangements </w:t>
      </w:r>
      <w:r w:rsidRPr="00BE368A">
        <w:t>will be developed separately</w:t>
      </w:r>
      <w:r w:rsidR="007B4475">
        <w:t xml:space="preserve"> at a later time to the </w:t>
      </w:r>
      <w:r w:rsidR="00AF7770">
        <w:t>GTAC</w:t>
      </w:r>
      <w:r w:rsidR="007B4475">
        <w:t xml:space="preserve"> development process</w:t>
      </w:r>
      <w:r w:rsidRPr="00BE368A">
        <w:t xml:space="preserve">. </w:t>
      </w:r>
      <w:r w:rsidR="007B4475">
        <w:t xml:space="preserve"> </w:t>
      </w:r>
    </w:p>
    <w:p w14:paraId="16F2E482" w14:textId="5B2555EF" w:rsidR="00632207" w:rsidRPr="00BE368A" w:rsidRDefault="00632207" w:rsidP="00BE368A">
      <w:pPr>
        <w:pStyle w:val="Numberedsubparagraph"/>
      </w:pPr>
      <w:r w:rsidRPr="00BE368A">
        <w:t xml:space="preserve">The compliance body should be able to </w:t>
      </w:r>
      <w:r w:rsidR="007B4475">
        <w:t>refer any potential non-compliance to the Rulings Panel</w:t>
      </w:r>
      <w:r w:rsidRPr="00BE368A">
        <w:t xml:space="preserve"> where it identifies that a party has been </w:t>
      </w:r>
      <w:r w:rsidR="00A057DF">
        <w:t xml:space="preserve">potentially </w:t>
      </w:r>
      <w:r w:rsidRPr="00BE368A">
        <w:t xml:space="preserve">non-compliant with the </w:t>
      </w:r>
      <w:r w:rsidR="00AF7770">
        <w:t>GTAC</w:t>
      </w:r>
      <w:r w:rsidRPr="00BE368A">
        <w:t xml:space="preserve">. To the extent that any behaviours may be identified through these </w:t>
      </w:r>
      <w:r w:rsidR="00A057DF">
        <w:t xml:space="preserve">review </w:t>
      </w:r>
      <w:r w:rsidRPr="00BE368A">
        <w:t xml:space="preserve">activities that may be inconsistent with competition law, these should be referred by the compliance body to the Commerce Commission for investigation. </w:t>
      </w:r>
    </w:p>
    <w:p w14:paraId="7F35064C" w14:textId="3601CBE8" w:rsidR="00632207" w:rsidRDefault="00632207" w:rsidP="00BE368A">
      <w:pPr>
        <w:pStyle w:val="Numberedsubparagraph"/>
      </w:pPr>
      <w:r w:rsidRPr="00BE368A">
        <w:t xml:space="preserve">Ensuring that access to all necessary information is available for the compliance body will be vital to enable them to undertake their role.  </w:t>
      </w:r>
      <w:r w:rsidR="00CD0595" w:rsidRPr="00BE368A">
        <w:t xml:space="preserve">Specific powers should be incorporated into the </w:t>
      </w:r>
      <w:r w:rsidR="00AF7770">
        <w:t>GTAC</w:t>
      </w:r>
      <w:r w:rsidR="00CD0595" w:rsidRPr="00BE368A">
        <w:t xml:space="preserve"> to enable the compliance body to acquire relevant information for assessing any behaviour th</w:t>
      </w:r>
      <w:r w:rsidR="007B4475">
        <w:t xml:space="preserve">at it might be concerned about. </w:t>
      </w:r>
    </w:p>
    <w:p w14:paraId="4976D977" w14:textId="4636C222" w:rsidR="007B4475" w:rsidRDefault="003B7C85" w:rsidP="003036DC">
      <w:pPr>
        <w:pStyle w:val="Numberedparagraph"/>
        <w:rPr>
          <w:b w:val="0"/>
        </w:rPr>
      </w:pPr>
      <w:r w:rsidRPr="007B4475">
        <w:rPr>
          <w:b w:val="0"/>
        </w:rPr>
        <w:t>We note that i</w:t>
      </w:r>
      <w:r w:rsidR="00C930DC" w:rsidRPr="007B4475">
        <w:rPr>
          <w:b w:val="0"/>
        </w:rPr>
        <w:t xml:space="preserve">t is important that the compliance body is free from influence </w:t>
      </w:r>
      <w:r w:rsidRPr="007B4475">
        <w:rPr>
          <w:b w:val="0"/>
        </w:rPr>
        <w:t xml:space="preserve">exerted by parties impacted by </w:t>
      </w:r>
      <w:r w:rsidR="00C930DC" w:rsidRPr="007B4475">
        <w:rPr>
          <w:b w:val="0"/>
        </w:rPr>
        <w:t xml:space="preserve">the </w:t>
      </w:r>
      <w:r w:rsidR="00AF7770">
        <w:rPr>
          <w:b w:val="0"/>
        </w:rPr>
        <w:t>GTAC</w:t>
      </w:r>
      <w:r w:rsidR="00C930DC" w:rsidRPr="007B4475">
        <w:rPr>
          <w:b w:val="0"/>
        </w:rPr>
        <w:t>, i.e. Shippers, First Gas</w:t>
      </w:r>
      <w:r w:rsidR="004724EC">
        <w:rPr>
          <w:b w:val="0"/>
        </w:rPr>
        <w:t xml:space="preserve"> and other Interconnected P</w:t>
      </w:r>
      <w:r w:rsidR="00BF5A6C">
        <w:rPr>
          <w:b w:val="0"/>
        </w:rPr>
        <w:t>arties</w:t>
      </w:r>
      <w:r w:rsidR="00C930DC" w:rsidRPr="007B4475">
        <w:rPr>
          <w:b w:val="0"/>
        </w:rPr>
        <w:t>.</w:t>
      </w:r>
      <w:r w:rsidR="00632207" w:rsidRPr="007B4475">
        <w:rPr>
          <w:b w:val="0"/>
        </w:rPr>
        <w:t xml:space="preserve"> </w:t>
      </w:r>
      <w:r w:rsidR="007B4475" w:rsidRPr="007B4475">
        <w:rPr>
          <w:b w:val="0"/>
        </w:rPr>
        <w:t>The GIC</w:t>
      </w:r>
      <w:r w:rsidR="00D45972">
        <w:rPr>
          <w:b w:val="0"/>
        </w:rPr>
        <w:t xml:space="preserve"> </w:t>
      </w:r>
      <w:r w:rsidR="00632207" w:rsidRPr="007B4475">
        <w:rPr>
          <w:b w:val="0"/>
        </w:rPr>
        <w:t>may be</w:t>
      </w:r>
      <w:r w:rsidR="007B4475">
        <w:rPr>
          <w:b w:val="0"/>
        </w:rPr>
        <w:t xml:space="preserve"> an appropriate party</w:t>
      </w:r>
      <w:r w:rsidR="00632207" w:rsidRPr="007B4475">
        <w:rPr>
          <w:b w:val="0"/>
        </w:rPr>
        <w:t xml:space="preserve"> to undertake this role. </w:t>
      </w:r>
      <w:r w:rsidR="007B4475">
        <w:rPr>
          <w:b w:val="0"/>
        </w:rPr>
        <w:t>However we note that o</w:t>
      </w:r>
      <w:r w:rsidR="00A379B1" w:rsidRPr="007B4475">
        <w:rPr>
          <w:b w:val="0"/>
        </w:rPr>
        <w:t>ur</w:t>
      </w:r>
      <w:r w:rsidR="00632207" w:rsidRPr="007B4475">
        <w:rPr>
          <w:b w:val="0"/>
        </w:rPr>
        <w:t xml:space="preserve"> broad</w:t>
      </w:r>
      <w:r w:rsidR="00A379B1" w:rsidRPr="007B4475">
        <w:rPr>
          <w:b w:val="0"/>
        </w:rPr>
        <w:t>er concerns with the independence</w:t>
      </w:r>
      <w:r w:rsidR="00632207" w:rsidRPr="007B4475">
        <w:rPr>
          <w:b w:val="0"/>
        </w:rPr>
        <w:t xml:space="preserve"> of the GIC</w:t>
      </w:r>
      <w:r w:rsidR="00A379B1" w:rsidRPr="007B4475">
        <w:rPr>
          <w:b w:val="0"/>
        </w:rPr>
        <w:t xml:space="preserve"> Board</w:t>
      </w:r>
      <w:r w:rsidR="00632207" w:rsidRPr="007B4475">
        <w:rPr>
          <w:b w:val="0"/>
        </w:rPr>
        <w:t xml:space="preserve">, as outlined throughout the </w:t>
      </w:r>
      <w:r w:rsidR="00AF7770">
        <w:rPr>
          <w:b w:val="0"/>
        </w:rPr>
        <w:t>GTAC</w:t>
      </w:r>
      <w:r w:rsidR="00632207" w:rsidRPr="007B4475">
        <w:rPr>
          <w:b w:val="0"/>
        </w:rPr>
        <w:t xml:space="preserve"> negotiation process</w:t>
      </w:r>
      <w:r w:rsidR="00A379B1" w:rsidRPr="007B4475">
        <w:rPr>
          <w:b w:val="0"/>
        </w:rPr>
        <w:t xml:space="preserve">, are of relevance to any decision making around who should undertake this important role. </w:t>
      </w:r>
    </w:p>
    <w:p w14:paraId="2F8654F3" w14:textId="771C6C86" w:rsidR="00C930DC" w:rsidRPr="00FD750F" w:rsidRDefault="00A379B1" w:rsidP="003036DC">
      <w:pPr>
        <w:pStyle w:val="Numberedparagraph"/>
        <w:rPr>
          <w:b w:val="0"/>
        </w:rPr>
      </w:pPr>
      <w:r w:rsidRPr="007B4475">
        <w:rPr>
          <w:b w:val="0"/>
        </w:rPr>
        <w:t>To the extent that the GIC may be used for this role, then our recommendation for a review to be undertaken by MBIE (or another independent party) of whether the arrangements to support independent decision making by the GIC Board are adequate should extend to cover the GIC’s compliance functions as well.</w:t>
      </w:r>
      <w:r>
        <w:t xml:space="preserve"> </w:t>
      </w:r>
    </w:p>
    <w:p w14:paraId="11C929AA" w14:textId="58F5299E" w:rsidR="00FD750F" w:rsidRDefault="00FD750F" w:rsidP="00FD750F">
      <w:pPr>
        <w:pStyle w:val="Numberedparagraph"/>
        <w:rPr>
          <w:b w:val="0"/>
        </w:rPr>
      </w:pPr>
      <w:r>
        <w:rPr>
          <w:b w:val="0"/>
        </w:rPr>
        <w:t>Our suggested drafting to</w:t>
      </w:r>
      <w:r w:rsidRPr="007B4475">
        <w:rPr>
          <w:b w:val="0"/>
        </w:rPr>
        <w:t xml:space="preserve"> incorporate </w:t>
      </w:r>
      <w:r w:rsidRPr="00D45972">
        <w:rPr>
          <w:b w:val="0"/>
        </w:rPr>
        <w:t>a compliance body into the GTAC</w:t>
      </w:r>
      <w:r>
        <w:rPr>
          <w:b w:val="0"/>
        </w:rPr>
        <w:t>,</w:t>
      </w:r>
      <w:r w:rsidRPr="00D45972">
        <w:rPr>
          <w:b w:val="0"/>
        </w:rPr>
        <w:t xml:space="preserve"> and to provide the GIC and Rulings Panel with jurisdiction to preside over matters are outlined</w:t>
      </w:r>
      <w:r w:rsidRPr="007B4475">
        <w:rPr>
          <w:b w:val="0"/>
        </w:rPr>
        <w:t xml:space="preserve"> in Appendix </w:t>
      </w:r>
      <w:r w:rsidR="00552F95">
        <w:rPr>
          <w:b w:val="0"/>
        </w:rPr>
        <w:t>B</w:t>
      </w:r>
      <w:r w:rsidRPr="00335535">
        <w:rPr>
          <w:b w:val="0"/>
        </w:rPr>
        <w:t>.</w:t>
      </w:r>
      <w:r w:rsidRPr="007B4475">
        <w:rPr>
          <w:b w:val="0"/>
        </w:rPr>
        <w:t xml:space="preserve"> </w:t>
      </w:r>
      <w:r>
        <w:rPr>
          <w:b w:val="0"/>
        </w:rPr>
        <w:t>Note</w:t>
      </w:r>
      <w:r w:rsidR="00A74B33">
        <w:rPr>
          <w:b w:val="0"/>
        </w:rPr>
        <w:t>: C</w:t>
      </w:r>
      <w:r>
        <w:rPr>
          <w:b w:val="0"/>
        </w:rPr>
        <w:t xml:space="preserve">hanges to both the GTAC and </w:t>
      </w:r>
      <w:r w:rsidRPr="00D45972">
        <w:rPr>
          <w:b w:val="0"/>
        </w:rPr>
        <w:t xml:space="preserve">the Gas Governance (Compliance) Regulations 2008 </w:t>
      </w:r>
      <w:r>
        <w:rPr>
          <w:b w:val="0"/>
        </w:rPr>
        <w:t xml:space="preserve">are required to achieve this. </w:t>
      </w:r>
    </w:p>
    <w:p w14:paraId="0FD536D7" w14:textId="77777777" w:rsidR="008255A6" w:rsidRDefault="008255A6" w:rsidP="00A14730">
      <w:pPr>
        <w:pStyle w:val="Numberedparagraph"/>
        <w:rPr>
          <w:b w:val="0"/>
        </w:rPr>
      </w:pPr>
      <w:r w:rsidRPr="008255A6">
        <w:rPr>
          <w:b w:val="0"/>
        </w:rPr>
        <w:t>We note that in assessing whether the GTAC is materially better than the current arrangements, the GIC needs to consider the broader regulatory environment. We do not consider that the GTAC would be “materially better” without a corresponding amendment to the Gas Governance (Compliance) Regulations to provide a better enforcement regime.</w:t>
      </w:r>
      <w:r>
        <w:rPr>
          <w:b w:val="0"/>
        </w:rPr>
        <w:t xml:space="preserve"> </w:t>
      </w:r>
    </w:p>
    <w:p w14:paraId="2C202A35" w14:textId="060F30F1" w:rsidR="008255A6" w:rsidRPr="008255A6" w:rsidRDefault="008255A6" w:rsidP="00A14730">
      <w:pPr>
        <w:pStyle w:val="Numberedparagraph"/>
        <w:rPr>
          <w:b w:val="0"/>
        </w:rPr>
      </w:pPr>
      <w:r w:rsidRPr="008255A6">
        <w:rPr>
          <w:b w:val="0"/>
        </w:rPr>
        <w:t>A high level overview of the proposed arrangements follows.</w:t>
      </w:r>
    </w:p>
    <w:p w14:paraId="3CF2A5CD" w14:textId="77777777" w:rsidR="00FD750F" w:rsidRPr="00A057DF" w:rsidRDefault="00FD750F" w:rsidP="00FD750F">
      <w:pPr>
        <w:rPr>
          <w:rFonts w:asciiTheme="minorHAnsi" w:eastAsiaTheme="minorHAnsi" w:hAnsiTheme="minorHAnsi"/>
          <w:b/>
          <w:bCs/>
          <w:i/>
          <w:iCs/>
          <w:sz w:val="22"/>
          <w:szCs w:val="22"/>
        </w:rPr>
      </w:pPr>
      <w:r w:rsidRPr="00A057DF">
        <w:rPr>
          <w:rFonts w:asciiTheme="minorHAnsi" w:hAnsiTheme="minorHAnsi"/>
          <w:b/>
          <w:bCs/>
          <w:i/>
          <w:iCs/>
          <w:sz w:val="22"/>
          <w:szCs w:val="22"/>
        </w:rPr>
        <w:t>Proposed regime – GIC and Rulings Panel</w:t>
      </w:r>
    </w:p>
    <w:p w14:paraId="43CF8170" w14:textId="77777777" w:rsidR="00FD750F" w:rsidRDefault="00FD750F" w:rsidP="00FD750F">
      <w:pPr>
        <w:rPr>
          <w:b/>
          <w:bCs/>
        </w:rPr>
      </w:pPr>
    </w:p>
    <w:p w14:paraId="0217F82C" w14:textId="77777777" w:rsidR="00A74B33" w:rsidRDefault="00FD750F" w:rsidP="00C70C56">
      <w:pPr>
        <w:pStyle w:val="Numberedparagraph"/>
        <w:rPr>
          <w:b w:val="0"/>
        </w:rPr>
      </w:pPr>
      <w:r w:rsidRPr="00FD750F">
        <w:rPr>
          <w:b w:val="0"/>
        </w:rPr>
        <w:t xml:space="preserve">We </w:t>
      </w:r>
      <w:r w:rsidR="00A057DF">
        <w:rPr>
          <w:b w:val="0"/>
        </w:rPr>
        <w:t>request</w:t>
      </w:r>
      <w:r w:rsidRPr="00FD750F">
        <w:rPr>
          <w:b w:val="0"/>
        </w:rPr>
        <w:t xml:space="preserve"> that there is incorporated in the GTAC a new complaints mechanism, whereby </w:t>
      </w:r>
      <w:r w:rsidR="00F35806">
        <w:rPr>
          <w:b w:val="0"/>
        </w:rPr>
        <w:t>Shippers and First Gas</w:t>
      </w:r>
      <w:r w:rsidRPr="00FD750F">
        <w:rPr>
          <w:b w:val="0"/>
        </w:rPr>
        <w:t xml:space="preserve"> would be able to bring a complaint to the GIC, alleging breach of the </w:t>
      </w:r>
      <w:r w:rsidR="008E7D90">
        <w:rPr>
          <w:b w:val="0"/>
        </w:rPr>
        <w:t>Transmission Service Agreement (</w:t>
      </w:r>
      <w:r w:rsidR="008E7D90" w:rsidRPr="008E7D90">
        <w:t>TSA</w:t>
      </w:r>
      <w:r w:rsidR="008E7D90">
        <w:rPr>
          <w:b w:val="0"/>
        </w:rPr>
        <w:t>)</w:t>
      </w:r>
      <w:r w:rsidR="008E7D90">
        <w:rPr>
          <w:rStyle w:val="FootnoteReference"/>
          <w:b w:val="0"/>
        </w:rPr>
        <w:footnoteReference w:id="27"/>
      </w:r>
      <w:r w:rsidRPr="00FD750F">
        <w:rPr>
          <w:b w:val="0"/>
        </w:rPr>
        <w:t xml:space="preserve"> by </w:t>
      </w:r>
      <w:r w:rsidR="003F45DB">
        <w:rPr>
          <w:b w:val="0"/>
        </w:rPr>
        <w:t>other</w:t>
      </w:r>
      <w:r w:rsidR="003F45DB" w:rsidRPr="00FD750F">
        <w:rPr>
          <w:b w:val="0"/>
        </w:rPr>
        <w:t xml:space="preserve"> </w:t>
      </w:r>
      <w:r w:rsidRPr="00FD750F">
        <w:rPr>
          <w:b w:val="0"/>
        </w:rPr>
        <w:t>Shipper</w:t>
      </w:r>
      <w:r w:rsidR="003F45DB">
        <w:rPr>
          <w:b w:val="0"/>
        </w:rPr>
        <w:t>(s)</w:t>
      </w:r>
      <w:r w:rsidR="00375F52">
        <w:rPr>
          <w:b w:val="0"/>
        </w:rPr>
        <w:t>, Interconnected Party(s) that are an OBA Party</w:t>
      </w:r>
      <w:r w:rsidR="00F35806">
        <w:rPr>
          <w:rStyle w:val="FootnoteReference"/>
          <w:b w:val="0"/>
        </w:rPr>
        <w:footnoteReference w:id="28"/>
      </w:r>
      <w:r w:rsidR="00F35806">
        <w:rPr>
          <w:b w:val="0"/>
        </w:rPr>
        <w:t>,</w:t>
      </w:r>
      <w:r w:rsidRPr="00FD750F">
        <w:rPr>
          <w:b w:val="0"/>
        </w:rPr>
        <w:t xml:space="preserve"> or First Gas, or that conduct of a Shipper</w:t>
      </w:r>
      <w:r w:rsidR="00375F52">
        <w:rPr>
          <w:b w:val="0"/>
        </w:rPr>
        <w:t xml:space="preserve">, Interconnected Party this is an OBA Party </w:t>
      </w:r>
      <w:r w:rsidRPr="00FD750F">
        <w:rPr>
          <w:b w:val="0"/>
        </w:rPr>
        <w:t xml:space="preserve">or First Gas threatens, or may threaten, </w:t>
      </w:r>
      <w:r w:rsidR="005F3AA6">
        <w:rPr>
          <w:b w:val="0"/>
        </w:rPr>
        <w:t xml:space="preserve">the </w:t>
      </w:r>
      <w:r w:rsidRPr="00FD750F">
        <w:rPr>
          <w:b w:val="0"/>
        </w:rPr>
        <w:t xml:space="preserve">confidence and integrity of the gas </w:t>
      </w:r>
      <w:r w:rsidR="003F45DB">
        <w:rPr>
          <w:b w:val="0"/>
        </w:rPr>
        <w:t>industry</w:t>
      </w:r>
      <w:r w:rsidRPr="00FD750F">
        <w:rPr>
          <w:b w:val="0"/>
        </w:rPr>
        <w:t>.</w:t>
      </w:r>
      <w:r w:rsidR="0085389B">
        <w:rPr>
          <w:b w:val="0"/>
        </w:rPr>
        <w:t xml:space="preserve"> </w:t>
      </w:r>
    </w:p>
    <w:p w14:paraId="4ED74DDB" w14:textId="016E5DFA" w:rsidR="00FD750F" w:rsidRDefault="0085389B" w:rsidP="00A74B33">
      <w:pPr>
        <w:pStyle w:val="Numberedparagraph"/>
        <w:numPr>
          <w:ilvl w:val="0"/>
          <w:numId w:val="0"/>
        </w:numPr>
        <w:ind w:left="992"/>
        <w:rPr>
          <w:b w:val="0"/>
        </w:rPr>
      </w:pPr>
      <w:r>
        <w:rPr>
          <w:b w:val="0"/>
        </w:rPr>
        <w:t>Note</w:t>
      </w:r>
      <w:r w:rsidR="00A74B33">
        <w:rPr>
          <w:b w:val="0"/>
        </w:rPr>
        <w:t>:</w:t>
      </w:r>
      <w:r>
        <w:rPr>
          <w:b w:val="0"/>
        </w:rPr>
        <w:t xml:space="preserve"> </w:t>
      </w:r>
      <w:r w:rsidR="00C70C56">
        <w:rPr>
          <w:b w:val="0"/>
        </w:rPr>
        <w:t xml:space="preserve">First Gas should </w:t>
      </w:r>
      <w:r w:rsidR="00A74B33">
        <w:rPr>
          <w:b w:val="0"/>
        </w:rPr>
        <w:t xml:space="preserve">also </w:t>
      </w:r>
      <w:r w:rsidR="00C70C56">
        <w:rPr>
          <w:b w:val="0"/>
        </w:rPr>
        <w:t>consider whether Interconnected Party’s that are an OBA party should also be able to raise a complaint and reflect accordingly in the GTAC.</w:t>
      </w:r>
    </w:p>
    <w:p w14:paraId="0AA588F9" w14:textId="2DE82A5B" w:rsidR="00FD750F" w:rsidRPr="00FD750F" w:rsidRDefault="00FD750F" w:rsidP="00FD750F">
      <w:pPr>
        <w:pStyle w:val="Numberedparagraph"/>
        <w:rPr>
          <w:b w:val="0"/>
        </w:rPr>
      </w:pPr>
      <w:r w:rsidRPr="00FD750F">
        <w:rPr>
          <w:b w:val="0"/>
        </w:rPr>
        <w:t xml:space="preserve">The GIC and the Rulings Panel would have the powers, rights and obligations as set out in the Gas Regulations in determining/settling a complaint, as if the complaint were an alleged breach of a rule or regulation under the Gas Regulations.  </w:t>
      </w:r>
    </w:p>
    <w:p w14:paraId="704D7717" w14:textId="20686393" w:rsidR="00FD750F" w:rsidRPr="00FD750F" w:rsidRDefault="00FD750F" w:rsidP="00FD750F">
      <w:pPr>
        <w:pStyle w:val="Numberedparagraph"/>
        <w:rPr>
          <w:b w:val="0"/>
        </w:rPr>
      </w:pPr>
      <w:r w:rsidRPr="00FD750F">
        <w:rPr>
          <w:b w:val="0"/>
        </w:rPr>
        <w:t xml:space="preserve">Currently, the Gas Regulations do not give the GIC or the Rulings Panel the regulatory jurisdiction to preside over alleged breaches of the GTAC.  As such, we propose that the complaints mechanism under the GTAC be backed by amendments to the Gas </w:t>
      </w:r>
      <w:r w:rsidRPr="00FD750F">
        <w:rPr>
          <w:b w:val="0"/>
        </w:rPr>
        <w:lastRenderedPageBreak/>
        <w:t xml:space="preserve">Regulations, in order to expand the jurisdiction of the GIC and the Rulings Panel to include presiding over breaches of the GTAC.  </w:t>
      </w:r>
    </w:p>
    <w:p w14:paraId="58117181" w14:textId="364F44A3" w:rsidR="00FD750F" w:rsidRDefault="00FD750F" w:rsidP="00FD750F">
      <w:pPr>
        <w:pStyle w:val="Numberedparagraph"/>
        <w:rPr>
          <w:b w:val="0"/>
        </w:rPr>
      </w:pPr>
      <w:r w:rsidRPr="00FD750F">
        <w:rPr>
          <w:b w:val="0"/>
        </w:rPr>
        <w:t xml:space="preserve">The existing compliance regime under the Gas Regulations is, in our opinion, the most appropriate governing regime for the GTAC.  </w:t>
      </w:r>
      <w:r w:rsidR="00A057DF">
        <w:rPr>
          <w:b w:val="0"/>
        </w:rPr>
        <w:t>This is because:</w:t>
      </w:r>
    </w:p>
    <w:p w14:paraId="0C8F359D" w14:textId="25CA6883" w:rsidR="004F395E" w:rsidRDefault="00FD750F" w:rsidP="00361614">
      <w:pPr>
        <w:pStyle w:val="Numberedsubparagraph"/>
        <w:numPr>
          <w:ilvl w:val="0"/>
          <w:numId w:val="38"/>
        </w:numPr>
      </w:pPr>
      <w:r>
        <w:t xml:space="preserve">The </w:t>
      </w:r>
      <w:r w:rsidRPr="00FD750F">
        <w:t>GIC already has information</w:t>
      </w:r>
      <w:r w:rsidR="004326EB">
        <w:t>-</w:t>
      </w:r>
      <w:r w:rsidRPr="00FD750F">
        <w:t>gathering and investigati</w:t>
      </w:r>
      <w:r w:rsidR="004326EB">
        <w:t>ve</w:t>
      </w:r>
      <w:r w:rsidRPr="00FD750F">
        <w:t xml:space="preserve"> p</w:t>
      </w:r>
      <w:r w:rsidR="004F395E">
        <w:t>owers under the Gas Regulations;</w:t>
      </w:r>
      <w:r w:rsidRPr="00FD750F">
        <w:t xml:space="preserve">  </w:t>
      </w:r>
    </w:p>
    <w:p w14:paraId="47C5A7C7" w14:textId="3AC00C63" w:rsidR="00FD750F" w:rsidRDefault="00FD750F" w:rsidP="00361614">
      <w:pPr>
        <w:pStyle w:val="Numberedsubparagraph"/>
        <w:numPr>
          <w:ilvl w:val="0"/>
          <w:numId w:val="38"/>
        </w:numPr>
      </w:pPr>
      <w:r w:rsidRPr="00FD750F">
        <w:t>All settlements which are referred to an investigator must b</w:t>
      </w:r>
      <w:r w:rsidR="004F395E">
        <w:t>e approved by the Rulings Panel; and</w:t>
      </w:r>
      <w:r w:rsidRPr="00FD750F">
        <w:t xml:space="preserve">  </w:t>
      </w:r>
    </w:p>
    <w:p w14:paraId="004890DF" w14:textId="77777777" w:rsidR="004F395E" w:rsidRDefault="004F395E" w:rsidP="00361614">
      <w:pPr>
        <w:pStyle w:val="Numberedsubparagraph"/>
        <w:numPr>
          <w:ilvl w:val="0"/>
          <w:numId w:val="38"/>
        </w:numPr>
      </w:pPr>
      <w:r>
        <w:t>T</w:t>
      </w:r>
      <w:r w:rsidR="00FD750F" w:rsidRPr="00FD750F">
        <w:t>he Rulings Panel is an independent body appointed by the Minister of Energy and Resources.</w:t>
      </w:r>
    </w:p>
    <w:p w14:paraId="6EFCFA05" w14:textId="31B93BFB" w:rsidR="008E7D90" w:rsidRDefault="004F395E" w:rsidP="008E7D90">
      <w:pPr>
        <w:pStyle w:val="Numberedsubparagraph"/>
        <w:numPr>
          <w:ilvl w:val="0"/>
          <w:numId w:val="0"/>
        </w:numPr>
        <w:ind w:left="992"/>
      </w:pPr>
      <w:r>
        <w:t>Note</w:t>
      </w:r>
      <w:r w:rsidR="00A74B33">
        <w:t>: I</w:t>
      </w:r>
      <w:r w:rsidR="00FD750F" w:rsidRPr="00FD750F">
        <w:t>n our proposed amendments to the Gas Regulations, we also give the Rulings Panel the powers to make orders that they are entitled to make under the Gas Act</w:t>
      </w:r>
      <w:r w:rsidR="008E7D90">
        <w:t>.</w:t>
      </w:r>
    </w:p>
    <w:p w14:paraId="33F74A1D" w14:textId="758255F1" w:rsidR="008E7D90" w:rsidRPr="008E7D90" w:rsidRDefault="008E7D90" w:rsidP="008E7D90">
      <w:pPr>
        <w:pStyle w:val="Numberedparagraph"/>
        <w:rPr>
          <w:b w:val="0"/>
        </w:rPr>
      </w:pPr>
      <w:r w:rsidRPr="008E7D90">
        <w:rPr>
          <w:b w:val="0"/>
        </w:rPr>
        <w:t>In the future consideration should be given to whether there may be a case for the compliance body to undertake an ongoing compliance monitoring role, i.e. be able to identify potential compliance issues in its own right rather than relying on an alleged breach being made by a Shipper</w:t>
      </w:r>
      <w:r w:rsidR="00375F52">
        <w:rPr>
          <w:b w:val="0"/>
        </w:rPr>
        <w:t>, Interconnected Party that is an OBA Party</w:t>
      </w:r>
      <w:r w:rsidRPr="008E7D90">
        <w:rPr>
          <w:b w:val="0"/>
        </w:rPr>
        <w:t xml:space="preserve"> or First Gas. </w:t>
      </w:r>
    </w:p>
    <w:p w14:paraId="24A08101" w14:textId="70DF2703" w:rsidR="00D938C7" w:rsidRDefault="001533BA" w:rsidP="00D938C7">
      <w:pPr>
        <w:pStyle w:val="Numberedsubheading"/>
      </w:pPr>
      <w:bookmarkStart w:id="46" w:name="_Toc495327990"/>
      <w:r>
        <w:t>Greater information transparency required to ensure Gas Act and GPS objectives can be achieved</w:t>
      </w:r>
      <w:bookmarkEnd w:id="38"/>
      <w:bookmarkEnd w:id="46"/>
    </w:p>
    <w:p w14:paraId="3C81C680" w14:textId="77777777" w:rsidR="00D938C7" w:rsidRPr="00BE368A" w:rsidRDefault="00D938C7" w:rsidP="00BE368A">
      <w:pPr>
        <w:pStyle w:val="Numberedparagraph"/>
        <w:rPr>
          <w:b w:val="0"/>
        </w:rPr>
      </w:pPr>
      <w:r w:rsidRPr="00BE368A">
        <w:rPr>
          <w:b w:val="0"/>
        </w:rPr>
        <w:t xml:space="preserve">We continue to strongly support greater transparency of information in the New Zealand gas market and consider that it is an integral part of achieving all the Gas Act and GPS objectives. </w:t>
      </w:r>
    </w:p>
    <w:p w14:paraId="59A8ECBF" w14:textId="4ABB4008" w:rsidR="00D938C7" w:rsidRPr="00BE368A" w:rsidRDefault="00D938C7" w:rsidP="00BE368A">
      <w:pPr>
        <w:pStyle w:val="Numberedparagraph"/>
        <w:rPr>
          <w:b w:val="0"/>
        </w:rPr>
      </w:pPr>
      <w:r w:rsidRPr="00BE368A">
        <w:rPr>
          <w:b w:val="0"/>
        </w:rPr>
        <w:t>Transparency of information has significant benefits in ensuring a competitive and efficient gas market through enabling more efficient decision making and reducing information asymmetries (to name a few benefits). Information transparency can also have an important role in facilitating monitoring of the development and level of competition in the gas market, along with identifying any incidents of potential market power abuse</w:t>
      </w:r>
      <w:r w:rsidRPr="005D7671">
        <w:rPr>
          <w:rStyle w:val="FootnoteReference"/>
          <w:b w:val="0"/>
        </w:rPr>
        <w:footnoteReference w:id="29"/>
      </w:r>
      <w:r w:rsidR="005D7671">
        <w:rPr>
          <w:b w:val="0"/>
        </w:rPr>
        <w:t>.</w:t>
      </w:r>
    </w:p>
    <w:p w14:paraId="66D1BCF4" w14:textId="081F165D" w:rsidR="00346907" w:rsidRDefault="00F91CEA" w:rsidP="00D938C7">
      <w:pPr>
        <w:pStyle w:val="Numberedparagraph"/>
        <w:rPr>
          <w:b w:val="0"/>
        </w:rPr>
      </w:pPr>
      <w:r>
        <w:rPr>
          <w:b w:val="0"/>
        </w:rPr>
        <w:t>The concept of full transparency</w:t>
      </w:r>
      <w:r w:rsidR="00D938C7" w:rsidRPr="00D938C7">
        <w:rPr>
          <w:b w:val="0"/>
        </w:rPr>
        <w:t xml:space="preserve"> </w:t>
      </w:r>
      <w:r>
        <w:rPr>
          <w:b w:val="0"/>
        </w:rPr>
        <w:t xml:space="preserve">of information underpins the proposed </w:t>
      </w:r>
      <w:r w:rsidR="00AF7770">
        <w:rPr>
          <w:b w:val="0"/>
        </w:rPr>
        <w:t>GTAC</w:t>
      </w:r>
      <w:r>
        <w:rPr>
          <w:b w:val="0"/>
        </w:rPr>
        <w:t xml:space="preserve"> arrangements</w:t>
      </w:r>
      <w:r w:rsidR="00D938C7" w:rsidRPr="00D938C7">
        <w:rPr>
          <w:b w:val="0"/>
        </w:rPr>
        <w:t>.</w:t>
      </w:r>
      <w:r>
        <w:rPr>
          <w:b w:val="0"/>
        </w:rPr>
        <w:t xml:space="preserve"> Without full and tim</w:t>
      </w:r>
      <w:r w:rsidR="00346907">
        <w:rPr>
          <w:b w:val="0"/>
        </w:rPr>
        <w:t>ely transparency of information</w:t>
      </w:r>
      <w:r w:rsidR="00716BB0">
        <w:rPr>
          <w:b w:val="0"/>
        </w:rPr>
        <w:t xml:space="preserve"> (i.e. information asymmetry)</w:t>
      </w:r>
      <w:r w:rsidR="00A54F41">
        <w:rPr>
          <w:b w:val="0"/>
        </w:rPr>
        <w:t xml:space="preserve"> </w:t>
      </w:r>
      <w:r w:rsidR="00346907">
        <w:rPr>
          <w:b w:val="0"/>
        </w:rPr>
        <w:t xml:space="preserve">the following </w:t>
      </w:r>
      <w:r w:rsidR="00CD0595">
        <w:rPr>
          <w:b w:val="0"/>
        </w:rPr>
        <w:t xml:space="preserve">outcomes </w:t>
      </w:r>
      <w:r w:rsidR="00346907">
        <w:rPr>
          <w:b w:val="0"/>
        </w:rPr>
        <w:t>will be likely to arise</w:t>
      </w:r>
      <w:r w:rsidR="00BA5D7C">
        <w:rPr>
          <w:b w:val="0"/>
        </w:rPr>
        <w:t xml:space="preserve"> under the </w:t>
      </w:r>
      <w:r w:rsidR="00AF7770">
        <w:rPr>
          <w:b w:val="0"/>
        </w:rPr>
        <w:t>GTAC</w:t>
      </w:r>
      <w:r w:rsidR="00346907">
        <w:rPr>
          <w:b w:val="0"/>
        </w:rPr>
        <w:t>:</w:t>
      </w:r>
    </w:p>
    <w:p w14:paraId="383E256A" w14:textId="2360D467" w:rsidR="00346907" w:rsidRPr="00BE368A" w:rsidRDefault="00D227F8" w:rsidP="00361614">
      <w:pPr>
        <w:pStyle w:val="Numberedsubparagraph"/>
        <w:numPr>
          <w:ilvl w:val="0"/>
          <w:numId w:val="28"/>
        </w:numPr>
      </w:pPr>
      <w:r>
        <w:t>Inefficient pricing outcomes - T</w:t>
      </w:r>
      <w:r w:rsidR="00346907" w:rsidRPr="00BE368A">
        <w:t xml:space="preserve">raders will not able to make decisions based on a full understanding of the current or anticipated market situation, for example </w:t>
      </w:r>
      <w:r w:rsidR="00D46112" w:rsidRPr="00BE368A">
        <w:t>unless it is clear what the level of expected congestion may be for a delivery point it will not be possible fo</w:t>
      </w:r>
      <w:r w:rsidR="00716BB0" w:rsidRPr="00BE368A">
        <w:t>r traders to accurately value Priority Right</w:t>
      </w:r>
      <w:r w:rsidR="00D46112" w:rsidRPr="00BE368A">
        <w:t>s when bidding into the auction</w:t>
      </w:r>
      <w:r w:rsidR="00346907" w:rsidRPr="00BE368A">
        <w:t xml:space="preserve">; </w:t>
      </w:r>
    </w:p>
    <w:p w14:paraId="244711A7" w14:textId="57838EFA" w:rsidR="00F91CEA" w:rsidRPr="00BE368A" w:rsidRDefault="00D46112" w:rsidP="00BE368A">
      <w:pPr>
        <w:pStyle w:val="Numberedsubparagraph"/>
      </w:pPr>
      <w:r w:rsidRPr="00BE368A">
        <w:t>Inability to react</w:t>
      </w:r>
      <w:r w:rsidR="00D227F8">
        <w:t xml:space="preserve"> to market signals - I</w:t>
      </w:r>
      <w:r w:rsidR="00346907" w:rsidRPr="00BE368A">
        <w:t xml:space="preserve">mpacted parties may not be able to appropriately react to any issues in the market, for example large consumers may self-select to reduce their consumption of gas if they know there is </w:t>
      </w:r>
      <w:r w:rsidRPr="00BE368A">
        <w:t>an issue</w:t>
      </w:r>
      <w:r w:rsidR="003F45DB">
        <w:t>, for example, an</w:t>
      </w:r>
      <w:r w:rsidRPr="00BE368A">
        <w:t xml:space="preserve"> upstream</w:t>
      </w:r>
      <w:r w:rsidR="00346907" w:rsidRPr="00BE368A">
        <w:t xml:space="preserve"> outage; and  </w:t>
      </w:r>
      <w:r w:rsidR="00A54F41" w:rsidRPr="00BE368A">
        <w:t xml:space="preserve">  </w:t>
      </w:r>
    </w:p>
    <w:p w14:paraId="26A7F97E" w14:textId="023A41DD" w:rsidR="00D46112" w:rsidRPr="00BE368A" w:rsidRDefault="00D46112" w:rsidP="00BE368A">
      <w:pPr>
        <w:pStyle w:val="Numberedsubparagraph"/>
      </w:pPr>
      <w:r w:rsidRPr="00BE368A">
        <w:lastRenderedPageBreak/>
        <w:t>Non-competitive behaviour</w:t>
      </w:r>
      <w:r w:rsidR="00CD0595" w:rsidRPr="00BE368A">
        <w:t>s</w:t>
      </w:r>
      <w:r w:rsidRPr="00BE368A">
        <w:t xml:space="preserve"> </w:t>
      </w:r>
      <w:r w:rsidR="00CD0595" w:rsidRPr="00BE368A">
        <w:t>–</w:t>
      </w:r>
      <w:r w:rsidRPr="00BE368A">
        <w:t xml:space="preserve"> </w:t>
      </w:r>
      <w:r w:rsidR="00AF7770">
        <w:t>GTAC</w:t>
      </w:r>
      <w:r w:rsidR="00D227F8">
        <w:t xml:space="preserve"> participants</w:t>
      </w:r>
      <w:r w:rsidR="00CD0595" w:rsidRPr="00BE368A">
        <w:t xml:space="preserve"> will not be </w:t>
      </w:r>
      <w:r w:rsidR="00D227F8">
        <w:t xml:space="preserve">able to readily identify if other </w:t>
      </w:r>
      <w:r w:rsidR="00AF7770">
        <w:t>GTAC</w:t>
      </w:r>
      <w:r w:rsidR="00D227F8">
        <w:t xml:space="preserve"> participants</w:t>
      </w:r>
      <w:r w:rsidR="00CD0595" w:rsidRPr="00BE368A">
        <w:t xml:space="preserve"> may have been behaving inappropriately and report these to the compliance body unless there is transparency provided. Likewise without a general power to acquire relevant information it may not be possible for the compliance body to form a view around any behaviours that do arise. </w:t>
      </w:r>
    </w:p>
    <w:p w14:paraId="7EEB3267" w14:textId="3A1CB1D0" w:rsidR="00CD0595" w:rsidRDefault="00CD0595" w:rsidP="00BE368A">
      <w:pPr>
        <w:pStyle w:val="Numberedsubparagraph"/>
        <w:numPr>
          <w:ilvl w:val="0"/>
          <w:numId w:val="0"/>
        </w:numPr>
        <w:ind w:left="993"/>
      </w:pPr>
      <w:r>
        <w:t>Note</w:t>
      </w:r>
      <w:r w:rsidR="00A74B33">
        <w:t>: T</w:t>
      </w:r>
      <w:r>
        <w:t>his is not intended to be a comprehensive list but rather demonstrate the value of transparency of inf</w:t>
      </w:r>
      <w:r w:rsidR="00D227F8">
        <w:t xml:space="preserve">ormation within the </w:t>
      </w:r>
      <w:r w:rsidR="00AF7770">
        <w:t>GTAC</w:t>
      </w:r>
      <w:r w:rsidR="00D227F8">
        <w:t xml:space="preserve"> itself and the gas industry more broadly</w:t>
      </w:r>
      <w:r w:rsidR="005D7671">
        <w:t xml:space="preserve">. </w:t>
      </w:r>
    </w:p>
    <w:p w14:paraId="408F49D5" w14:textId="00ECC7DB" w:rsidR="00D938C7" w:rsidRPr="00BE368A" w:rsidRDefault="00D938C7" w:rsidP="00BE368A">
      <w:pPr>
        <w:pStyle w:val="Numberedparagraph"/>
        <w:rPr>
          <w:b w:val="0"/>
        </w:rPr>
      </w:pPr>
      <w:r w:rsidRPr="00BE368A">
        <w:rPr>
          <w:b w:val="0"/>
        </w:rPr>
        <w:t>We consider:</w:t>
      </w:r>
    </w:p>
    <w:p w14:paraId="5410402D" w14:textId="09A265FE" w:rsidR="00D938C7" w:rsidRPr="00BE368A" w:rsidRDefault="00D938C7" w:rsidP="00361614">
      <w:pPr>
        <w:pStyle w:val="Numberedsubparagraph"/>
        <w:numPr>
          <w:ilvl w:val="0"/>
          <w:numId w:val="24"/>
        </w:numPr>
      </w:pPr>
      <w:r w:rsidRPr="00BE368A">
        <w:t xml:space="preserve">Transparency of both near-term and historical information should be sought across the gas industry, including with respect to </w:t>
      </w:r>
      <w:r w:rsidR="00F91CEA" w:rsidRPr="00BE368A">
        <w:t xml:space="preserve">additional agreements, </w:t>
      </w:r>
      <w:r w:rsidRPr="00BE368A">
        <w:t>capacity outlook information (line pack information and forecast capacity of pipelines, gate stations, production facilities</w:t>
      </w:r>
      <w:r w:rsidRPr="00F720C3">
        <w:rPr>
          <w:rStyle w:val="FootnoteReference"/>
        </w:rPr>
        <w:footnoteReference w:id="30"/>
      </w:r>
      <w:r w:rsidRPr="00BE368A">
        <w:t xml:space="preserve"> etc.), forecast and actual flow information (DNC, unplanned production outages, aggregated consumption information etc.) and details relating to Priority Right auctions (bids, outcomes</w:t>
      </w:r>
      <w:r w:rsidR="00F91CEA" w:rsidRPr="00BE368A">
        <w:t>, secondary trades</w:t>
      </w:r>
      <w:r w:rsidRPr="00BE368A">
        <w:t xml:space="preserve"> etc.) </w:t>
      </w:r>
    </w:p>
    <w:p w14:paraId="0E7AE959" w14:textId="77777777" w:rsidR="00D938C7" w:rsidRPr="00BE368A" w:rsidRDefault="00D938C7" w:rsidP="00BE368A">
      <w:pPr>
        <w:pStyle w:val="Numberedsubparagraph"/>
      </w:pPr>
      <w:r w:rsidRPr="00BE368A">
        <w:t>The timeframes for publishing information require careful consideration. Publication of the right information at the right time can ensure the market is well aware of events that may impact congestion or pricing in advance.</w:t>
      </w:r>
    </w:p>
    <w:p w14:paraId="1C56BD7F" w14:textId="6D10F9FD" w:rsidR="00D938C7" w:rsidRDefault="00FF13E7" w:rsidP="00D938C7">
      <w:pPr>
        <w:pStyle w:val="Numberedparagraph"/>
        <w:rPr>
          <w:b w:val="0"/>
        </w:rPr>
      </w:pPr>
      <w:r>
        <w:rPr>
          <w:b w:val="0"/>
        </w:rPr>
        <w:t>It still remains largely uncertain</w:t>
      </w:r>
      <w:r w:rsidR="00D938C7" w:rsidRPr="00D938C7">
        <w:rPr>
          <w:b w:val="0"/>
        </w:rPr>
        <w:t xml:space="preserve"> how greater transparency will be achi</w:t>
      </w:r>
      <w:r>
        <w:rPr>
          <w:b w:val="0"/>
        </w:rPr>
        <w:t xml:space="preserve">eved under the new arrangements. First Gas has indicated that they may be interested in adopting arrangements </w:t>
      </w:r>
      <w:r w:rsidR="00D938C7" w:rsidRPr="00D938C7">
        <w:rPr>
          <w:b w:val="0"/>
        </w:rPr>
        <w:t xml:space="preserve"> similar to those adopted in Australia with the Gas Bulletin Boards (</w:t>
      </w:r>
      <w:r w:rsidR="00D938C7" w:rsidRPr="0072491D">
        <w:t>GBB</w:t>
      </w:r>
      <w:r w:rsidR="00D938C7" w:rsidRPr="00D938C7">
        <w:rPr>
          <w:b w:val="0"/>
        </w:rPr>
        <w:t>) for the east and west coasts</w:t>
      </w:r>
      <w:r w:rsidR="00D938C7" w:rsidRPr="00D938C7">
        <w:rPr>
          <w:rStyle w:val="FootnoteReference"/>
          <w:b w:val="0"/>
        </w:rPr>
        <w:footnoteReference w:id="31"/>
      </w:r>
      <w:r w:rsidR="00D938C7" w:rsidRPr="00D938C7">
        <w:rPr>
          <w:b w:val="0"/>
        </w:rPr>
        <w:t>. The GBB arrangements provide a significant amount of valuable information for new entrants, existing participants and government alike</w:t>
      </w:r>
      <w:r w:rsidR="00D227F8">
        <w:rPr>
          <w:b w:val="0"/>
        </w:rPr>
        <w:t>,</w:t>
      </w:r>
      <w:r w:rsidR="00D938C7" w:rsidRPr="00D938C7">
        <w:rPr>
          <w:b w:val="0"/>
        </w:rPr>
        <w:t xml:space="preserve"> in an easily accessible and understandable format. The Western Australian GBB also provides a useful tool for managing scarcity events and ensuring all interested parties are </w:t>
      </w:r>
      <w:r>
        <w:rPr>
          <w:b w:val="0"/>
        </w:rPr>
        <w:t>well informed during any event.</w:t>
      </w:r>
    </w:p>
    <w:p w14:paraId="24DC7C35" w14:textId="60E73A06" w:rsidR="00B74495" w:rsidRDefault="005D7671" w:rsidP="00B74495">
      <w:pPr>
        <w:pStyle w:val="Numberedparagraph"/>
        <w:rPr>
          <w:b w:val="0"/>
        </w:rPr>
      </w:pPr>
      <w:r>
        <w:rPr>
          <w:b w:val="0"/>
        </w:rPr>
        <w:t xml:space="preserve">We consider that </w:t>
      </w:r>
      <w:r w:rsidR="00CD0595">
        <w:rPr>
          <w:b w:val="0"/>
        </w:rPr>
        <w:t xml:space="preserve">a multi-party contract </w:t>
      </w:r>
      <w:r>
        <w:rPr>
          <w:b w:val="0"/>
        </w:rPr>
        <w:t>is not the</w:t>
      </w:r>
      <w:r w:rsidR="00CD0595">
        <w:rPr>
          <w:b w:val="0"/>
        </w:rPr>
        <w:t xml:space="preserve"> most efficient mechanism for achieving greater transparency</w:t>
      </w:r>
      <w:r>
        <w:rPr>
          <w:b w:val="0"/>
        </w:rPr>
        <w:t xml:space="preserve"> of the broader gas market and recommend that the GIC and MBIE progress a</w:t>
      </w:r>
      <w:r w:rsidR="00CD0595">
        <w:rPr>
          <w:b w:val="0"/>
        </w:rPr>
        <w:t xml:space="preserve"> regulated solution to ensuring transparency of information through a GBB</w:t>
      </w:r>
      <w:r>
        <w:rPr>
          <w:b w:val="0"/>
        </w:rPr>
        <w:t>. This would be</w:t>
      </w:r>
      <w:r w:rsidR="00CD0595">
        <w:rPr>
          <w:b w:val="0"/>
        </w:rPr>
        <w:t xml:space="preserve"> more effective and efficient and ensure that costs and information provision requirements can be appropriately </w:t>
      </w:r>
      <w:r w:rsidR="00BA5D7C">
        <w:rPr>
          <w:b w:val="0"/>
        </w:rPr>
        <w:t xml:space="preserve">targeted, including to parties that might not be subject to the </w:t>
      </w:r>
      <w:r w:rsidR="00AF7770">
        <w:rPr>
          <w:b w:val="0"/>
        </w:rPr>
        <w:t>GTAC</w:t>
      </w:r>
      <w:r w:rsidR="00BA5D7C">
        <w:rPr>
          <w:b w:val="0"/>
        </w:rPr>
        <w:t>.</w:t>
      </w:r>
      <w:r w:rsidR="00C01E19">
        <w:rPr>
          <w:b w:val="0"/>
        </w:rPr>
        <w:t xml:space="preserve"> However, that is not to say that some improvements to transparency of information should not also be progressed via the </w:t>
      </w:r>
      <w:r w:rsidR="00AF7770">
        <w:rPr>
          <w:b w:val="0"/>
        </w:rPr>
        <w:t>GTAC</w:t>
      </w:r>
      <w:r w:rsidR="00C01E19">
        <w:rPr>
          <w:b w:val="0"/>
        </w:rPr>
        <w:t xml:space="preserve"> itself, for example greater transparency of production facility outages.</w:t>
      </w:r>
      <w:r w:rsidR="00F15D87">
        <w:rPr>
          <w:b w:val="0"/>
        </w:rPr>
        <w:t xml:space="preserve"> </w:t>
      </w:r>
      <w:r w:rsidR="00434595">
        <w:rPr>
          <w:b w:val="0"/>
        </w:rPr>
        <w:t xml:space="preserve"> </w:t>
      </w:r>
    </w:p>
    <w:p w14:paraId="7BEF14EB" w14:textId="7659A038" w:rsidR="00FF13E7" w:rsidRDefault="00B74495" w:rsidP="00B74495">
      <w:pPr>
        <w:pStyle w:val="Numberedparagraph"/>
        <w:rPr>
          <w:b w:val="0"/>
        </w:rPr>
      </w:pPr>
      <w:r>
        <w:rPr>
          <w:b w:val="0"/>
        </w:rPr>
        <w:t xml:space="preserve">We recommend that given transparency of information is pivotal to ensuring </w:t>
      </w:r>
      <w:r w:rsidR="008068D3">
        <w:rPr>
          <w:b w:val="0"/>
        </w:rPr>
        <w:t>that the Gas Act and GPS objectives can be achieved</w:t>
      </w:r>
      <w:r>
        <w:rPr>
          <w:b w:val="0"/>
        </w:rPr>
        <w:t xml:space="preserve">, </w:t>
      </w:r>
      <w:r w:rsidR="00CD0595">
        <w:rPr>
          <w:b w:val="0"/>
        </w:rPr>
        <w:t xml:space="preserve">the development of regulatory arrangements to enhance transparency of information </w:t>
      </w:r>
      <w:r>
        <w:rPr>
          <w:b w:val="0"/>
        </w:rPr>
        <w:t>should be included on the Work Pr</w:t>
      </w:r>
      <w:r w:rsidR="00CB6062">
        <w:rPr>
          <w:b w:val="0"/>
        </w:rPr>
        <w:t>ogramme for the GIC</w:t>
      </w:r>
      <w:r w:rsidR="0060741B">
        <w:rPr>
          <w:b w:val="0"/>
        </w:rPr>
        <w:t xml:space="preserve"> (and MBIE)</w:t>
      </w:r>
      <w:r w:rsidR="00CB6062">
        <w:rPr>
          <w:b w:val="0"/>
        </w:rPr>
        <w:t xml:space="preserve"> for FY2019.</w:t>
      </w:r>
    </w:p>
    <w:p w14:paraId="60048683" w14:textId="478096F3" w:rsidR="00CB6062" w:rsidRPr="00B74495" w:rsidRDefault="00CB6062" w:rsidP="00CB6062">
      <w:pPr>
        <w:pStyle w:val="Numberedparagraph"/>
        <w:numPr>
          <w:ilvl w:val="0"/>
          <w:numId w:val="0"/>
        </w:numPr>
        <w:ind w:left="992"/>
        <w:rPr>
          <w:b w:val="0"/>
        </w:rPr>
      </w:pPr>
      <w:r>
        <w:rPr>
          <w:b w:val="0"/>
        </w:rPr>
        <w:t>Note</w:t>
      </w:r>
      <w:r w:rsidR="006E62F5">
        <w:rPr>
          <w:b w:val="0"/>
        </w:rPr>
        <w:t>:</w:t>
      </w:r>
      <w:r>
        <w:rPr>
          <w:b w:val="0"/>
        </w:rPr>
        <w:t xml:space="preserve"> Some foundational scoping work may be required earlier to ensure First Gas’ new IT systems can produce the necessary information.</w:t>
      </w:r>
    </w:p>
    <w:p w14:paraId="2A3125CD" w14:textId="54C13235" w:rsidR="001533BA" w:rsidRDefault="001533BA" w:rsidP="001533BA">
      <w:pPr>
        <w:pStyle w:val="Numberedsubheading"/>
      </w:pPr>
      <w:bookmarkStart w:id="47" w:name="_Ref494876734"/>
      <w:bookmarkStart w:id="48" w:name="_Toc495327991"/>
      <w:r>
        <w:lastRenderedPageBreak/>
        <w:t xml:space="preserve">Concerns with </w:t>
      </w:r>
      <w:r w:rsidR="00716BB0">
        <w:t>significant</w:t>
      </w:r>
      <w:r>
        <w:t xml:space="preserve"> TSO discretion and </w:t>
      </w:r>
      <w:r w:rsidR="00EC4182">
        <w:t>principles</w:t>
      </w:r>
      <w:r w:rsidR="00696E8F">
        <w:t>-</w:t>
      </w:r>
      <w:r w:rsidR="00EC4182">
        <w:t>based approach to drafting</w:t>
      </w:r>
      <w:bookmarkEnd w:id="47"/>
      <w:bookmarkEnd w:id="48"/>
    </w:p>
    <w:p w14:paraId="4026118A" w14:textId="0DDD90DC" w:rsidR="00716BB0" w:rsidRPr="00716BB0" w:rsidRDefault="00716BB0" w:rsidP="00716BB0">
      <w:pPr>
        <w:pStyle w:val="Numberedparagraph"/>
        <w:rPr>
          <w:b w:val="0"/>
        </w:rPr>
      </w:pPr>
      <w:r w:rsidRPr="00716BB0">
        <w:rPr>
          <w:b w:val="0"/>
        </w:rPr>
        <w:t xml:space="preserve">As discussed at a number of the public workshops that have been held as part of the </w:t>
      </w:r>
      <w:r w:rsidR="007C35D4">
        <w:rPr>
          <w:b w:val="0"/>
        </w:rPr>
        <w:t xml:space="preserve">negotiation </w:t>
      </w:r>
      <w:r w:rsidRPr="00716BB0">
        <w:rPr>
          <w:b w:val="0"/>
        </w:rPr>
        <w:t xml:space="preserve">process on the current version of the </w:t>
      </w:r>
      <w:r w:rsidR="00AF7770">
        <w:rPr>
          <w:b w:val="0"/>
        </w:rPr>
        <w:t>GTAC</w:t>
      </w:r>
      <w:r w:rsidRPr="00716BB0">
        <w:rPr>
          <w:b w:val="0"/>
        </w:rPr>
        <w:t>, we are concerned with the significant discretion that is afforded to First Gas as th</w:t>
      </w:r>
      <w:r w:rsidR="00987016">
        <w:rPr>
          <w:b w:val="0"/>
        </w:rPr>
        <w:t xml:space="preserve">e </w:t>
      </w:r>
      <w:r w:rsidRPr="00987016">
        <w:rPr>
          <w:b w:val="0"/>
        </w:rPr>
        <w:t>TSO</w:t>
      </w:r>
      <w:r w:rsidRPr="00716BB0">
        <w:rPr>
          <w:b w:val="0"/>
        </w:rPr>
        <w:t xml:space="preserve"> and limited level of design detail that is provided in places. </w:t>
      </w:r>
      <w:r w:rsidR="007105EA">
        <w:rPr>
          <w:b w:val="0"/>
        </w:rPr>
        <w:t>We note other Shippers have also expressed similar concerns during the process</w:t>
      </w:r>
      <w:r w:rsidR="009A4B21">
        <w:rPr>
          <w:b w:val="0"/>
        </w:rPr>
        <w:t xml:space="preserve"> and are of the view that a shorter, but more ambiguous code is materially worse than the current arrangements</w:t>
      </w:r>
      <w:r w:rsidR="007105EA">
        <w:rPr>
          <w:b w:val="0"/>
        </w:rPr>
        <w:t xml:space="preserve">. </w:t>
      </w:r>
    </w:p>
    <w:p w14:paraId="4444484B" w14:textId="6545964E" w:rsidR="007105EA" w:rsidRDefault="007105EA" w:rsidP="00716BB0">
      <w:pPr>
        <w:pStyle w:val="Numberedparagraph"/>
        <w:rPr>
          <w:b w:val="0"/>
        </w:rPr>
      </w:pPr>
      <w:r>
        <w:rPr>
          <w:b w:val="0"/>
        </w:rPr>
        <w:t xml:space="preserve">While it may be reasonable for First Gas to be provided with discretion given its role in maintaining the security of the pipeline, the </w:t>
      </w:r>
      <w:r w:rsidR="003036DC">
        <w:rPr>
          <w:b w:val="0"/>
        </w:rPr>
        <w:t xml:space="preserve">proposed level of </w:t>
      </w:r>
      <w:r>
        <w:rPr>
          <w:b w:val="0"/>
        </w:rPr>
        <w:t xml:space="preserve">discretion is much broader and touches across most aspects of the </w:t>
      </w:r>
      <w:r w:rsidR="00AF7770">
        <w:rPr>
          <w:b w:val="0"/>
        </w:rPr>
        <w:t>GTAC</w:t>
      </w:r>
      <w:r>
        <w:rPr>
          <w:b w:val="0"/>
        </w:rPr>
        <w:t xml:space="preserve">. </w:t>
      </w:r>
      <w:r w:rsidR="00EC4182">
        <w:rPr>
          <w:b w:val="0"/>
        </w:rPr>
        <w:t xml:space="preserve">This has resulted in extensive discussion with industry around this matter to date and a number of refinements to the </w:t>
      </w:r>
      <w:r w:rsidR="00AF7770">
        <w:rPr>
          <w:b w:val="0"/>
        </w:rPr>
        <w:t>GTAC</w:t>
      </w:r>
      <w:r w:rsidR="00EC4182">
        <w:rPr>
          <w:b w:val="0"/>
        </w:rPr>
        <w:t xml:space="preserve"> to better clarify the obligations on First Gas have been made</w:t>
      </w:r>
      <w:r w:rsidR="0065663F">
        <w:rPr>
          <w:b w:val="0"/>
        </w:rPr>
        <w:t xml:space="preserve"> as a result</w:t>
      </w:r>
      <w:r w:rsidR="0003445E">
        <w:rPr>
          <w:b w:val="0"/>
        </w:rPr>
        <w:t xml:space="preserve">, i.e. the ability to veto a </w:t>
      </w:r>
      <w:r w:rsidR="00AF7770">
        <w:rPr>
          <w:b w:val="0"/>
        </w:rPr>
        <w:t>GTAC</w:t>
      </w:r>
      <w:r w:rsidR="0003445E">
        <w:rPr>
          <w:b w:val="0"/>
        </w:rPr>
        <w:t xml:space="preserve"> Change has been restricted to where First Gas could not recover the costs that it would incur</w:t>
      </w:r>
      <w:r w:rsidR="00EC4182">
        <w:rPr>
          <w:b w:val="0"/>
        </w:rPr>
        <w:t>.</w:t>
      </w:r>
    </w:p>
    <w:p w14:paraId="7FE733F0" w14:textId="25A7336B" w:rsidR="007105EA" w:rsidRPr="007105EA" w:rsidRDefault="007105EA" w:rsidP="007105EA">
      <w:pPr>
        <w:pStyle w:val="Numberedparagraph"/>
        <w:rPr>
          <w:b w:val="0"/>
        </w:rPr>
      </w:pPr>
      <w:r>
        <w:rPr>
          <w:b w:val="0"/>
        </w:rPr>
        <w:t xml:space="preserve">We have proposed further </w:t>
      </w:r>
      <w:r w:rsidRPr="007105EA">
        <w:rPr>
          <w:b w:val="0"/>
        </w:rPr>
        <w:t xml:space="preserve">mark-ups in Appendix </w:t>
      </w:r>
      <w:r w:rsidR="00552F95">
        <w:rPr>
          <w:b w:val="0"/>
        </w:rPr>
        <w:t xml:space="preserve">C </w:t>
      </w:r>
      <w:r>
        <w:rPr>
          <w:b w:val="0"/>
        </w:rPr>
        <w:t xml:space="preserve">which </w:t>
      </w:r>
      <w:r w:rsidRPr="007105EA">
        <w:rPr>
          <w:b w:val="0"/>
        </w:rPr>
        <w:t xml:space="preserve">seek to </w:t>
      </w:r>
      <w:r w:rsidR="00EC4182">
        <w:rPr>
          <w:b w:val="0"/>
        </w:rPr>
        <w:t xml:space="preserve">further </w:t>
      </w:r>
      <w:r w:rsidRPr="007105EA">
        <w:rPr>
          <w:b w:val="0"/>
        </w:rPr>
        <w:t xml:space="preserve">clarify the discretion afforded to First Gas and provide some </w:t>
      </w:r>
      <w:r>
        <w:rPr>
          <w:b w:val="0"/>
        </w:rPr>
        <w:t xml:space="preserve">more general </w:t>
      </w:r>
      <w:r w:rsidRPr="007105EA">
        <w:rPr>
          <w:b w:val="0"/>
        </w:rPr>
        <w:t xml:space="preserve">context </w:t>
      </w:r>
      <w:r w:rsidR="0065663F">
        <w:rPr>
          <w:b w:val="0"/>
        </w:rPr>
        <w:t xml:space="preserve">as </w:t>
      </w:r>
      <w:r w:rsidRPr="007105EA">
        <w:rPr>
          <w:b w:val="0"/>
        </w:rPr>
        <w:t>to how this direction could be applied. For ex</w:t>
      </w:r>
      <w:r w:rsidR="00EC4182">
        <w:rPr>
          <w:b w:val="0"/>
        </w:rPr>
        <w:t>ample</w:t>
      </w:r>
      <w:r w:rsidR="0065663F">
        <w:rPr>
          <w:b w:val="0"/>
        </w:rPr>
        <w:t>,</w:t>
      </w:r>
      <w:r w:rsidR="00EC4182">
        <w:rPr>
          <w:b w:val="0"/>
        </w:rPr>
        <w:t xml:space="preserve"> we propose</w:t>
      </w:r>
      <w:r w:rsidRPr="007105EA">
        <w:rPr>
          <w:b w:val="0"/>
        </w:rPr>
        <w:t xml:space="preserve"> in section 2.14 </w:t>
      </w:r>
      <w:r w:rsidR="00EC4182">
        <w:rPr>
          <w:b w:val="0"/>
        </w:rPr>
        <w:t xml:space="preserve">to clarify </w:t>
      </w:r>
      <w:r w:rsidRPr="007105EA">
        <w:rPr>
          <w:b w:val="0"/>
        </w:rPr>
        <w:t>that First Gas should behav</w:t>
      </w:r>
      <w:r w:rsidR="00EC4182">
        <w:rPr>
          <w:b w:val="0"/>
        </w:rPr>
        <w:t xml:space="preserve">e </w:t>
      </w:r>
      <w:r w:rsidRPr="007105EA">
        <w:rPr>
          <w:b w:val="0"/>
        </w:rPr>
        <w:t>as a Reasonable and Prudent Operator when apply any discretion afforded under</w:t>
      </w:r>
      <w:r w:rsidR="00EC4182">
        <w:rPr>
          <w:b w:val="0"/>
        </w:rPr>
        <w:t xml:space="preserve"> the </w:t>
      </w:r>
      <w:r w:rsidR="00AF7770">
        <w:rPr>
          <w:b w:val="0"/>
        </w:rPr>
        <w:t>GTAC</w:t>
      </w:r>
      <w:r w:rsidR="00EC4182">
        <w:rPr>
          <w:b w:val="0"/>
        </w:rPr>
        <w:t xml:space="preserve">. </w:t>
      </w:r>
    </w:p>
    <w:p w14:paraId="5163BB1F" w14:textId="63C97619" w:rsidR="00D1596C" w:rsidRDefault="00EC4182" w:rsidP="002A55AC">
      <w:pPr>
        <w:pStyle w:val="Numberedparagraph"/>
        <w:rPr>
          <w:b w:val="0"/>
        </w:rPr>
      </w:pPr>
      <w:r w:rsidRPr="00D1596C">
        <w:rPr>
          <w:b w:val="0"/>
        </w:rPr>
        <w:t>Part of the concern with the broader discretion afforded to First Gas stems from the decision to adopt a principles</w:t>
      </w:r>
      <w:r w:rsidR="00696E8F">
        <w:rPr>
          <w:b w:val="0"/>
        </w:rPr>
        <w:t>-</w:t>
      </w:r>
      <w:r w:rsidRPr="00D1596C">
        <w:rPr>
          <w:b w:val="0"/>
        </w:rPr>
        <w:t>based approach to drafting. While this might be an increasingly common approach adopted in drafting the arrangements for regulated markets, this is the first time we have seen a multi-party contract adopt this approach</w:t>
      </w:r>
      <w:r w:rsidR="009A4B21">
        <w:rPr>
          <w:b w:val="0"/>
        </w:rPr>
        <w:t>, and are concerned with future implications this may have</w:t>
      </w:r>
      <w:r w:rsidRPr="00D1596C">
        <w:rPr>
          <w:b w:val="0"/>
        </w:rPr>
        <w:t xml:space="preserve">. </w:t>
      </w:r>
    </w:p>
    <w:p w14:paraId="2B4367E7" w14:textId="42C48263" w:rsidR="00290752" w:rsidRDefault="00EC4182" w:rsidP="002A55AC">
      <w:pPr>
        <w:pStyle w:val="Numberedparagraph"/>
        <w:rPr>
          <w:b w:val="0"/>
        </w:rPr>
      </w:pPr>
      <w:r w:rsidRPr="0003445E">
        <w:rPr>
          <w:b w:val="0"/>
        </w:rPr>
        <w:t>The principles</w:t>
      </w:r>
      <w:r w:rsidR="00696E8F">
        <w:rPr>
          <w:b w:val="0"/>
        </w:rPr>
        <w:t>-</w:t>
      </w:r>
      <w:r w:rsidRPr="0003445E">
        <w:rPr>
          <w:b w:val="0"/>
        </w:rPr>
        <w:t xml:space="preserve">based approach to drafting the </w:t>
      </w:r>
      <w:r w:rsidR="00AF7770">
        <w:rPr>
          <w:b w:val="0"/>
        </w:rPr>
        <w:t>GTAC</w:t>
      </w:r>
      <w:r w:rsidRPr="0003445E">
        <w:rPr>
          <w:b w:val="0"/>
        </w:rPr>
        <w:t xml:space="preserve">, combined with the significant discretion afforded to First Gas in places, in our view creates uncertainty as to how the arrangements will work in practice. This is evidenced by the recent industry discussions around </w:t>
      </w:r>
      <w:r w:rsidR="0003445E" w:rsidRPr="0003445E">
        <w:rPr>
          <w:b w:val="0"/>
        </w:rPr>
        <w:t>curtailment and Priority R</w:t>
      </w:r>
      <w:r w:rsidRPr="0003445E">
        <w:rPr>
          <w:b w:val="0"/>
        </w:rPr>
        <w:t xml:space="preserve">ights, where worked examples were presented by First Gas. The worked examples stimulated significant discussion around the workability of the arrangements and identified a number of issues which had to date not been identified as the discussion had been at a high level around the principles of the </w:t>
      </w:r>
      <w:r w:rsidR="00AF7770">
        <w:rPr>
          <w:b w:val="0"/>
        </w:rPr>
        <w:t>GTAC</w:t>
      </w:r>
      <w:r w:rsidRPr="0003445E">
        <w:rPr>
          <w:b w:val="0"/>
        </w:rPr>
        <w:t>. This</w:t>
      </w:r>
      <w:r w:rsidR="0003445E" w:rsidRPr="0003445E">
        <w:rPr>
          <w:b w:val="0"/>
        </w:rPr>
        <w:t xml:space="preserve"> has</w:t>
      </w:r>
      <w:r w:rsidRPr="0003445E">
        <w:rPr>
          <w:b w:val="0"/>
        </w:rPr>
        <w:t xml:space="preserve"> reinforce</w:t>
      </w:r>
      <w:r w:rsidR="0003445E" w:rsidRPr="0003445E">
        <w:rPr>
          <w:b w:val="0"/>
        </w:rPr>
        <w:t>d</w:t>
      </w:r>
      <w:r w:rsidRPr="0003445E">
        <w:rPr>
          <w:b w:val="0"/>
        </w:rPr>
        <w:t xml:space="preserve"> our concerns that at this stage in the process the workability of the proposed new arrangements </w:t>
      </w:r>
      <w:r w:rsidR="009A4B21">
        <w:rPr>
          <w:b w:val="0"/>
        </w:rPr>
        <w:t>have</w:t>
      </w:r>
      <w:r w:rsidR="009A4B21" w:rsidRPr="0003445E">
        <w:rPr>
          <w:b w:val="0"/>
        </w:rPr>
        <w:t xml:space="preserve"> </w:t>
      </w:r>
      <w:r w:rsidRPr="0003445E">
        <w:rPr>
          <w:b w:val="0"/>
        </w:rPr>
        <w:t>not yet been demonstrated.</w:t>
      </w:r>
      <w:r w:rsidR="0003445E" w:rsidRPr="0003445E">
        <w:rPr>
          <w:b w:val="0"/>
        </w:rPr>
        <w:t xml:space="preserve"> </w:t>
      </w:r>
    </w:p>
    <w:p w14:paraId="12EA7405" w14:textId="3BD2C349" w:rsidR="00E0639D" w:rsidRPr="00D1596C" w:rsidRDefault="00E0639D" w:rsidP="00E0639D">
      <w:pPr>
        <w:pStyle w:val="Numberedparagraph"/>
        <w:rPr>
          <w:b w:val="0"/>
        </w:rPr>
      </w:pPr>
      <w:r w:rsidRPr="00D1596C">
        <w:rPr>
          <w:b w:val="0"/>
        </w:rPr>
        <w:t xml:space="preserve">Our preference </w:t>
      </w:r>
      <w:r w:rsidR="00D12BFD">
        <w:rPr>
          <w:b w:val="0"/>
        </w:rPr>
        <w:t>is</w:t>
      </w:r>
      <w:r w:rsidRPr="00D1596C">
        <w:rPr>
          <w:b w:val="0"/>
        </w:rPr>
        <w:t xml:space="preserve"> for a more prescriptive </w:t>
      </w:r>
      <w:r w:rsidR="00AF7770">
        <w:rPr>
          <w:b w:val="0"/>
        </w:rPr>
        <w:t>GTAC</w:t>
      </w:r>
      <w:r w:rsidRPr="00D1596C">
        <w:rPr>
          <w:b w:val="0"/>
        </w:rPr>
        <w:t xml:space="preserve"> to </w:t>
      </w:r>
      <w:r w:rsidR="000A42DD">
        <w:rPr>
          <w:b w:val="0"/>
        </w:rPr>
        <w:t>be</w:t>
      </w:r>
      <w:r w:rsidRPr="00D1596C">
        <w:rPr>
          <w:b w:val="0"/>
        </w:rPr>
        <w:t xml:space="preserve"> deve</w:t>
      </w:r>
      <w:r>
        <w:rPr>
          <w:b w:val="0"/>
        </w:rPr>
        <w:t xml:space="preserve">loped as this </w:t>
      </w:r>
      <w:r w:rsidR="000A42DD">
        <w:rPr>
          <w:b w:val="0"/>
        </w:rPr>
        <w:t>will</w:t>
      </w:r>
      <w:r>
        <w:rPr>
          <w:b w:val="0"/>
        </w:rPr>
        <w:t xml:space="preserve"> provide</w:t>
      </w:r>
      <w:r w:rsidR="000A42DD">
        <w:rPr>
          <w:b w:val="0"/>
        </w:rPr>
        <w:t xml:space="preserve"> </w:t>
      </w:r>
      <w:r>
        <w:rPr>
          <w:b w:val="0"/>
        </w:rPr>
        <w:t>greater certainty to Shippers and other interconnected parties around how the new arrangements w</w:t>
      </w:r>
      <w:r w:rsidR="000A42DD">
        <w:rPr>
          <w:b w:val="0"/>
        </w:rPr>
        <w:t>ill</w:t>
      </w:r>
      <w:r>
        <w:rPr>
          <w:b w:val="0"/>
        </w:rPr>
        <w:t xml:space="preserve"> operate in practice. Alternatively, a series of worked examples (as was suggested by the GIC) </w:t>
      </w:r>
      <w:r w:rsidR="0065663F">
        <w:rPr>
          <w:b w:val="0"/>
        </w:rPr>
        <w:t xml:space="preserve">being presented much earlier </w:t>
      </w:r>
      <w:r>
        <w:rPr>
          <w:b w:val="0"/>
        </w:rPr>
        <w:t xml:space="preserve">in the development process may have been able to achieve a similar outcome and ensure workability. </w:t>
      </w:r>
    </w:p>
    <w:p w14:paraId="0336AAA5" w14:textId="2B0CCA5E" w:rsidR="00290752" w:rsidRDefault="00290752" w:rsidP="002A55AC">
      <w:pPr>
        <w:pStyle w:val="Numberedparagraph"/>
        <w:rPr>
          <w:b w:val="0"/>
        </w:rPr>
      </w:pPr>
      <w:r w:rsidRPr="00290752">
        <w:rPr>
          <w:b w:val="0"/>
        </w:rPr>
        <w:t>We consider that it will require</w:t>
      </w:r>
      <w:r w:rsidR="0003445E" w:rsidRPr="00290752">
        <w:rPr>
          <w:b w:val="0"/>
        </w:rPr>
        <w:t xml:space="preserve"> a significant “leap of faith” to </w:t>
      </w:r>
      <w:r w:rsidRPr="00290752">
        <w:rPr>
          <w:b w:val="0"/>
        </w:rPr>
        <w:t xml:space="preserve">adopt the </w:t>
      </w:r>
      <w:r w:rsidR="00AF7770">
        <w:rPr>
          <w:b w:val="0"/>
        </w:rPr>
        <w:t>GTAC</w:t>
      </w:r>
      <w:r w:rsidRPr="00290752">
        <w:rPr>
          <w:b w:val="0"/>
        </w:rPr>
        <w:t xml:space="preserve"> in its current form. Based on experience to date, it would be ill-conceived to </w:t>
      </w:r>
      <w:r w:rsidR="0003445E" w:rsidRPr="00290752">
        <w:rPr>
          <w:b w:val="0"/>
        </w:rPr>
        <w:t>just assume that the new arrangements will work flawlessly on commencement when limited design d</w:t>
      </w:r>
      <w:r w:rsidR="003E5DB5">
        <w:rPr>
          <w:b w:val="0"/>
        </w:rPr>
        <w:t>etail is available, for example with respect to the auction arrangements for Priority Rights</w:t>
      </w:r>
      <w:r w:rsidR="0003445E" w:rsidRPr="00290752">
        <w:rPr>
          <w:b w:val="0"/>
        </w:rPr>
        <w:t>.</w:t>
      </w:r>
      <w:r>
        <w:rPr>
          <w:b w:val="0"/>
        </w:rPr>
        <w:t xml:space="preserve"> While we have sought to clarify the arrangements in the </w:t>
      </w:r>
      <w:r w:rsidR="00AF7770">
        <w:rPr>
          <w:b w:val="0"/>
        </w:rPr>
        <w:t>GTAC</w:t>
      </w:r>
      <w:r>
        <w:rPr>
          <w:b w:val="0"/>
        </w:rPr>
        <w:t xml:space="preserve"> as much as possible </w:t>
      </w:r>
      <w:r w:rsidR="0065663F">
        <w:rPr>
          <w:b w:val="0"/>
        </w:rPr>
        <w:t>during t</w:t>
      </w:r>
      <w:r w:rsidR="00D12BFD">
        <w:rPr>
          <w:b w:val="0"/>
        </w:rPr>
        <w:t xml:space="preserve">he negotiation process to date </w:t>
      </w:r>
      <w:r w:rsidR="0065663F">
        <w:rPr>
          <w:b w:val="0"/>
        </w:rPr>
        <w:t>and in</w:t>
      </w:r>
      <w:r>
        <w:rPr>
          <w:b w:val="0"/>
        </w:rPr>
        <w:t xml:space="preserve"> our </w:t>
      </w:r>
      <w:r w:rsidR="00335535">
        <w:rPr>
          <w:b w:val="0"/>
        </w:rPr>
        <w:t xml:space="preserve">mark-ups </w:t>
      </w:r>
      <w:r w:rsidR="00335535">
        <w:rPr>
          <w:b w:val="0"/>
        </w:rPr>
        <w:lastRenderedPageBreak/>
        <w:t>presen</w:t>
      </w:r>
      <w:r w:rsidR="00552F95">
        <w:rPr>
          <w:b w:val="0"/>
        </w:rPr>
        <w:t>ted in Appendix C</w:t>
      </w:r>
      <w:r>
        <w:rPr>
          <w:b w:val="0"/>
        </w:rPr>
        <w:t xml:space="preserve">, the underlying issue around the workability of some of the proposed arrangements remains outstanding. </w:t>
      </w:r>
    </w:p>
    <w:p w14:paraId="4F5D6890" w14:textId="074B58A5" w:rsidR="00EC4182" w:rsidRPr="00290752" w:rsidRDefault="00290752" w:rsidP="002A55AC">
      <w:pPr>
        <w:pStyle w:val="Numberedparagraph"/>
        <w:rPr>
          <w:b w:val="0"/>
        </w:rPr>
      </w:pPr>
      <w:r>
        <w:rPr>
          <w:b w:val="0"/>
        </w:rPr>
        <w:t xml:space="preserve">As outlined in paragraphs </w:t>
      </w:r>
      <w:r>
        <w:rPr>
          <w:b w:val="0"/>
        </w:rPr>
        <w:fldChar w:fldCharType="begin"/>
      </w:r>
      <w:r>
        <w:rPr>
          <w:b w:val="0"/>
        </w:rPr>
        <w:instrText xml:space="preserve"> REF _Ref494289109 \r \h </w:instrText>
      </w:r>
      <w:r>
        <w:rPr>
          <w:b w:val="0"/>
        </w:rPr>
      </w:r>
      <w:r>
        <w:rPr>
          <w:b w:val="0"/>
        </w:rPr>
        <w:fldChar w:fldCharType="separate"/>
      </w:r>
      <w:r w:rsidR="008008CD">
        <w:rPr>
          <w:b w:val="0"/>
        </w:rPr>
        <w:t>2.1.9</w:t>
      </w:r>
      <w:r>
        <w:rPr>
          <w:b w:val="0"/>
        </w:rPr>
        <w:fldChar w:fldCharType="end"/>
      </w:r>
      <w:r>
        <w:rPr>
          <w:b w:val="0"/>
        </w:rPr>
        <w:t xml:space="preserve"> and </w:t>
      </w:r>
      <w:r>
        <w:rPr>
          <w:b w:val="0"/>
        </w:rPr>
        <w:fldChar w:fldCharType="begin"/>
      </w:r>
      <w:r>
        <w:rPr>
          <w:b w:val="0"/>
        </w:rPr>
        <w:instrText xml:space="preserve"> REF _Ref494289059 \r \h </w:instrText>
      </w:r>
      <w:r>
        <w:rPr>
          <w:b w:val="0"/>
        </w:rPr>
      </w:r>
      <w:r>
        <w:rPr>
          <w:b w:val="0"/>
        </w:rPr>
        <w:fldChar w:fldCharType="separate"/>
      </w:r>
      <w:r w:rsidR="008008CD">
        <w:rPr>
          <w:b w:val="0"/>
        </w:rPr>
        <w:t>2.1.10</w:t>
      </w:r>
      <w:r>
        <w:rPr>
          <w:b w:val="0"/>
        </w:rPr>
        <w:fldChar w:fldCharType="end"/>
      </w:r>
      <w:r>
        <w:rPr>
          <w:b w:val="0"/>
        </w:rPr>
        <w:t xml:space="preserve">, we consider that additional time is required to address the outstanding issues with the proposed arrangements and ensure that they are workable. </w:t>
      </w:r>
    </w:p>
    <w:p w14:paraId="156BB3A0" w14:textId="1547C786" w:rsidR="00D938C7" w:rsidRDefault="001533BA" w:rsidP="001533BA">
      <w:pPr>
        <w:pStyle w:val="Numberedsubheading"/>
      </w:pPr>
      <w:bookmarkStart w:id="49" w:name="_Toc495327992"/>
      <w:r>
        <w:t xml:space="preserve">Improvements to drafting of </w:t>
      </w:r>
      <w:r w:rsidR="009B7348">
        <w:t xml:space="preserve">the </w:t>
      </w:r>
      <w:r w:rsidR="00AF7770">
        <w:t>GTAC</w:t>
      </w:r>
      <w:bookmarkEnd w:id="49"/>
      <w:r w:rsidR="00763A9F">
        <w:t xml:space="preserve"> </w:t>
      </w:r>
    </w:p>
    <w:p w14:paraId="7E39D294" w14:textId="3E234C2D" w:rsidR="00F57ACA" w:rsidRPr="00E84665" w:rsidRDefault="00F57ACA" w:rsidP="002A55AC">
      <w:pPr>
        <w:pStyle w:val="Heading3"/>
      </w:pPr>
      <w:r w:rsidRPr="00E84665">
        <w:t xml:space="preserve">We have spent considerable time reviewing the proposed </w:t>
      </w:r>
      <w:r w:rsidR="00AF7770">
        <w:t>GTAC</w:t>
      </w:r>
      <w:r w:rsidRPr="00E84665">
        <w:t xml:space="preserve"> in its entirety. As request</w:t>
      </w:r>
      <w:r w:rsidR="009B7348">
        <w:t>ed by First Gas, we have marked-</w:t>
      </w:r>
      <w:r w:rsidRPr="00E84665">
        <w:t xml:space="preserve">up our suggested changes to the </w:t>
      </w:r>
      <w:r w:rsidR="00AF7770">
        <w:t>GTAC</w:t>
      </w:r>
      <w:r w:rsidRPr="00E84665">
        <w:t xml:space="preserve"> and presented thes</w:t>
      </w:r>
      <w:r w:rsidR="00552F95">
        <w:t>e in Appendix C</w:t>
      </w:r>
      <w:r w:rsidRPr="00E84665">
        <w:t>.</w:t>
      </w:r>
    </w:p>
    <w:p w14:paraId="4CB5EDC8" w14:textId="5BFCB524" w:rsidR="002A55AC" w:rsidRPr="00E84665" w:rsidRDefault="00F57ACA" w:rsidP="002A55AC">
      <w:pPr>
        <w:pStyle w:val="Heading3"/>
      </w:pPr>
      <w:r w:rsidRPr="00E84665">
        <w:t xml:space="preserve">At a high level the main </w:t>
      </w:r>
      <w:r w:rsidR="002A55AC" w:rsidRPr="00E84665">
        <w:t>changes</w:t>
      </w:r>
      <w:r w:rsidRPr="00E84665">
        <w:t xml:space="preserve"> that</w:t>
      </w:r>
      <w:r w:rsidR="002A55AC" w:rsidRPr="00E84665">
        <w:t xml:space="preserve"> we consider are required</w:t>
      </w:r>
      <w:r w:rsidR="00BE368A" w:rsidRPr="00E84665">
        <w:t xml:space="preserve"> </w:t>
      </w:r>
      <w:r w:rsidRPr="00E84665">
        <w:t>include:</w:t>
      </w:r>
    </w:p>
    <w:p w14:paraId="1518DD5F" w14:textId="7FE33074" w:rsidR="002A55AC" w:rsidRPr="00E84665" w:rsidRDefault="00E84665" w:rsidP="00361614">
      <w:pPr>
        <w:pStyle w:val="Numberedsubparagraph"/>
        <w:numPr>
          <w:ilvl w:val="0"/>
          <w:numId w:val="36"/>
        </w:numPr>
      </w:pPr>
      <w:r w:rsidRPr="003E5DB5">
        <w:rPr>
          <w:u w:val="single"/>
        </w:rPr>
        <w:t xml:space="preserve">The removal of the Priority Right arrangements from the </w:t>
      </w:r>
      <w:r w:rsidR="00AF7770" w:rsidRPr="003E5DB5">
        <w:rPr>
          <w:u w:val="single"/>
        </w:rPr>
        <w:t>GTAC</w:t>
      </w:r>
      <w:r w:rsidRPr="00E84665">
        <w:t>. We have however not marke</w:t>
      </w:r>
      <w:r w:rsidR="009A4B21">
        <w:t>d</w:t>
      </w:r>
      <w:r w:rsidR="003E5DB5">
        <w:t>-up</w:t>
      </w:r>
      <w:r w:rsidRPr="00E84665">
        <w:t xml:space="preserve"> the </w:t>
      </w:r>
      <w:r w:rsidR="00AF7770">
        <w:t>GTAC</w:t>
      </w:r>
      <w:r w:rsidRPr="00E84665">
        <w:t xml:space="preserve"> to this effect, but rather have reflected the minimum changes required if First Gas is to proceed with this proposal. </w:t>
      </w:r>
      <w:r w:rsidR="00696E8F">
        <w:t>For the avoidance of doubt, though, w</w:t>
      </w:r>
      <w:r w:rsidRPr="00E84665">
        <w:t>e strongly caution against simply adopting these changes</w:t>
      </w:r>
      <w:r w:rsidR="00696E8F">
        <w:t>,</w:t>
      </w:r>
      <w:r w:rsidRPr="00E84665">
        <w:t xml:space="preserve"> as the workability of the proposed arrangements has not been demonstrated to date. The minimum changes include:</w:t>
      </w:r>
    </w:p>
    <w:p w14:paraId="4487EE33" w14:textId="260F6EAA" w:rsidR="00E84665" w:rsidRPr="00E84665" w:rsidRDefault="00E84665" w:rsidP="00361614">
      <w:pPr>
        <w:pStyle w:val="Numberedsubparagraph"/>
        <w:numPr>
          <w:ilvl w:val="1"/>
          <w:numId w:val="36"/>
        </w:numPr>
      </w:pPr>
      <w:r w:rsidRPr="00E84665">
        <w:t>The incorporation of objectives for the auction;</w:t>
      </w:r>
    </w:p>
    <w:p w14:paraId="39153345" w14:textId="47CEB0F5" w:rsidR="00E84665" w:rsidRPr="00E84665" w:rsidRDefault="00E84665" w:rsidP="00361614">
      <w:pPr>
        <w:pStyle w:val="Numberedsubparagraph"/>
        <w:numPr>
          <w:ilvl w:val="1"/>
          <w:numId w:val="36"/>
        </w:numPr>
      </w:pPr>
      <w:r w:rsidRPr="00E84665">
        <w:t>Clarification of how the arrangements will work, particularly for secondary trade</w:t>
      </w:r>
      <w:r w:rsidR="003178B6">
        <w:t>s</w:t>
      </w:r>
      <w:r w:rsidRPr="00E84665">
        <w:t>; and</w:t>
      </w:r>
    </w:p>
    <w:p w14:paraId="31A96EF6" w14:textId="66F7077F" w:rsidR="00E84665" w:rsidRPr="00E84665" w:rsidRDefault="00E84665" w:rsidP="00361614">
      <w:pPr>
        <w:pStyle w:val="Numberedsubparagraph"/>
        <w:numPr>
          <w:ilvl w:val="1"/>
          <w:numId w:val="36"/>
        </w:numPr>
      </w:pPr>
      <w:r w:rsidRPr="00E84665">
        <w:t>Clarification that marginal pricing will be adopted by the auction;</w:t>
      </w:r>
    </w:p>
    <w:p w14:paraId="0A762ED5" w14:textId="2F1CB00D" w:rsidR="002A55AC" w:rsidRPr="00E84665" w:rsidRDefault="002A55AC" w:rsidP="002A55AC">
      <w:pPr>
        <w:pStyle w:val="Numberedsubparagraph"/>
      </w:pPr>
      <w:r w:rsidRPr="003E5DB5">
        <w:rPr>
          <w:u w:val="single"/>
        </w:rPr>
        <w:t>Incorporation of a role for a compliance body</w:t>
      </w:r>
      <w:r w:rsidR="00E84665" w:rsidRPr="00E84665">
        <w:t>. We have</w:t>
      </w:r>
      <w:r w:rsidR="00335535">
        <w:t xml:space="preserve"> not</w:t>
      </w:r>
      <w:r w:rsidR="00E84665" w:rsidRPr="00E84665">
        <w:t xml:space="preserve"> marked</w:t>
      </w:r>
      <w:r w:rsidR="003E5DB5">
        <w:t>-up</w:t>
      </w:r>
      <w:r w:rsidR="00E84665" w:rsidRPr="00E84665">
        <w:t xml:space="preserve"> these changes spec</w:t>
      </w:r>
      <w:r w:rsidR="00335535">
        <w:t xml:space="preserve">ifically in the </w:t>
      </w:r>
      <w:r w:rsidR="00AF7770">
        <w:t>GTAC</w:t>
      </w:r>
      <w:r w:rsidR="00335535">
        <w:t xml:space="preserve"> </w:t>
      </w:r>
      <w:r w:rsidR="00E84665" w:rsidRPr="00E84665">
        <w:t xml:space="preserve">but rather presented our proposed new section for the </w:t>
      </w:r>
      <w:r w:rsidR="00AF7770">
        <w:t>GTAC</w:t>
      </w:r>
      <w:r w:rsidR="00E84665" w:rsidRPr="00E84665">
        <w:t>, to be adopted</w:t>
      </w:r>
      <w:r w:rsidR="00552F95">
        <w:t xml:space="preserve"> in its entirety, in Appendix B</w:t>
      </w:r>
      <w:r w:rsidR="00E84665">
        <w:t>;</w:t>
      </w:r>
    </w:p>
    <w:p w14:paraId="3158BE0A" w14:textId="61A6FDDA" w:rsidR="002A55AC" w:rsidRPr="00E84665" w:rsidRDefault="002A55AC" w:rsidP="002A55AC">
      <w:pPr>
        <w:pStyle w:val="Numberedsubparagraph"/>
      </w:pPr>
      <w:r w:rsidRPr="003E5DB5">
        <w:rPr>
          <w:u w:val="single"/>
        </w:rPr>
        <w:t xml:space="preserve">Clarification </w:t>
      </w:r>
      <w:r w:rsidR="003E5DB5">
        <w:rPr>
          <w:u w:val="single"/>
        </w:rPr>
        <w:t>of</w:t>
      </w:r>
      <w:r w:rsidRPr="003E5DB5">
        <w:rPr>
          <w:u w:val="single"/>
        </w:rPr>
        <w:t xml:space="preserve"> </w:t>
      </w:r>
      <w:r w:rsidR="00E84665" w:rsidRPr="003E5DB5">
        <w:rPr>
          <w:u w:val="single"/>
        </w:rPr>
        <w:t>First Gas’</w:t>
      </w:r>
      <w:r w:rsidR="00696E8F">
        <w:rPr>
          <w:u w:val="single"/>
        </w:rPr>
        <w:t>s</w:t>
      </w:r>
      <w:r w:rsidR="00E84665" w:rsidRPr="003E5DB5">
        <w:rPr>
          <w:u w:val="single"/>
        </w:rPr>
        <w:t xml:space="preserve"> </w:t>
      </w:r>
      <w:r w:rsidRPr="003E5DB5">
        <w:rPr>
          <w:u w:val="single"/>
        </w:rPr>
        <w:t>veto</w:t>
      </w:r>
      <w:r w:rsidR="003E5DB5">
        <w:rPr>
          <w:u w:val="single"/>
        </w:rPr>
        <w:t xml:space="preserve"> ability within the </w:t>
      </w:r>
      <w:r w:rsidR="009B7348">
        <w:rPr>
          <w:u w:val="single"/>
        </w:rPr>
        <w:t>GTAC c</w:t>
      </w:r>
      <w:r w:rsidR="003E5DB5">
        <w:rPr>
          <w:u w:val="single"/>
        </w:rPr>
        <w:t>hange process</w:t>
      </w:r>
      <w:r w:rsidR="00E84665">
        <w:t>;</w:t>
      </w:r>
    </w:p>
    <w:p w14:paraId="3B027467" w14:textId="0A3CB1F1" w:rsidR="00E84665" w:rsidRPr="00E84665" w:rsidRDefault="002A55AC" w:rsidP="002E7DBF">
      <w:pPr>
        <w:pStyle w:val="Numberedsubparagraph"/>
      </w:pPr>
      <w:r w:rsidRPr="003E5DB5">
        <w:rPr>
          <w:u w:val="single"/>
        </w:rPr>
        <w:t xml:space="preserve">Clarification of </w:t>
      </w:r>
      <w:r w:rsidR="00E84665" w:rsidRPr="003E5DB5">
        <w:rPr>
          <w:u w:val="single"/>
        </w:rPr>
        <w:t xml:space="preserve">the discretion afforded to </w:t>
      </w:r>
      <w:r w:rsidRPr="003E5DB5">
        <w:rPr>
          <w:u w:val="single"/>
        </w:rPr>
        <w:t xml:space="preserve">First Gas </w:t>
      </w:r>
      <w:r w:rsidRPr="003E5DB5">
        <w:t>at a high level</w:t>
      </w:r>
      <w:r w:rsidR="0065663F">
        <w:t xml:space="preserve">, as was explored in section </w:t>
      </w:r>
      <w:r w:rsidR="0065663F">
        <w:fldChar w:fldCharType="begin"/>
      </w:r>
      <w:r w:rsidR="0065663F">
        <w:instrText xml:space="preserve"> REF _Ref494876734 \r \h </w:instrText>
      </w:r>
      <w:r w:rsidR="0065663F">
        <w:fldChar w:fldCharType="separate"/>
      </w:r>
      <w:r w:rsidR="008008CD">
        <w:t>2.6</w:t>
      </w:r>
      <w:r w:rsidR="0065663F">
        <w:fldChar w:fldCharType="end"/>
      </w:r>
      <w:r w:rsidR="00E84665">
        <w:t>;</w:t>
      </w:r>
      <w:r w:rsidR="002E7DBF">
        <w:t xml:space="preserve"> </w:t>
      </w:r>
      <w:r w:rsidR="00E84665">
        <w:t>and</w:t>
      </w:r>
    </w:p>
    <w:p w14:paraId="3EF08CB6" w14:textId="68915A16" w:rsidR="002A55AC" w:rsidRDefault="00BE368A" w:rsidP="002A55AC">
      <w:pPr>
        <w:pStyle w:val="Numberedsubparagraph"/>
      </w:pPr>
      <w:r w:rsidRPr="003E5DB5">
        <w:rPr>
          <w:u w:val="single"/>
        </w:rPr>
        <w:t>Adoption of consist</w:t>
      </w:r>
      <w:r w:rsidR="00E84665" w:rsidRPr="003E5DB5">
        <w:rPr>
          <w:u w:val="single"/>
        </w:rPr>
        <w:t>ent approach to defining terms</w:t>
      </w:r>
      <w:r w:rsidR="00E84665" w:rsidRPr="00E84665">
        <w:t xml:space="preserve">. Once again we have not marked up all changes of this nature as we are not currently clear on </w:t>
      </w:r>
      <w:r w:rsidRPr="00E84665">
        <w:t xml:space="preserve">the rationale applied by First Gas to date, i.e. some terms just defined within the section of the </w:t>
      </w:r>
      <w:r w:rsidR="00AF7770">
        <w:t>GTAC</w:t>
      </w:r>
      <w:r w:rsidRPr="00E84665">
        <w:t xml:space="preserve"> others up front. </w:t>
      </w:r>
      <w:r w:rsidR="00E84665" w:rsidRPr="00E84665">
        <w:t xml:space="preserve">We have reflected this matter in a number of comments provided within our suggested </w:t>
      </w:r>
      <w:r w:rsidR="00AF7770">
        <w:t>GTAC</w:t>
      </w:r>
      <w:r w:rsidR="00E84665" w:rsidRPr="00E84665">
        <w:t xml:space="preserve"> mark-ups. </w:t>
      </w:r>
    </w:p>
    <w:p w14:paraId="2D7271D6" w14:textId="73CFD4C3" w:rsidR="00BE368A" w:rsidRDefault="002A04BE" w:rsidP="00BE368A">
      <w:pPr>
        <w:pStyle w:val="Numberedparagraph"/>
        <w:rPr>
          <w:b w:val="0"/>
        </w:rPr>
      </w:pPr>
      <w:r w:rsidRPr="002A04BE">
        <w:rPr>
          <w:b w:val="0"/>
        </w:rPr>
        <w:t>We</w:t>
      </w:r>
      <w:r w:rsidR="00E84665">
        <w:rPr>
          <w:b w:val="0"/>
        </w:rPr>
        <w:t xml:space="preserve"> also</w:t>
      </w:r>
      <w:r w:rsidRPr="002A04BE">
        <w:rPr>
          <w:b w:val="0"/>
        </w:rPr>
        <w:t xml:space="preserve"> note that another Shipper has identified concerns with the definition of MHQ and MDQ. We share these concerns and support clarification being made to the </w:t>
      </w:r>
      <w:r w:rsidR="00AF7770">
        <w:rPr>
          <w:b w:val="0"/>
        </w:rPr>
        <w:t>GTAC</w:t>
      </w:r>
      <w:r w:rsidRPr="002A04BE">
        <w:rPr>
          <w:b w:val="0"/>
        </w:rPr>
        <w:t xml:space="preserve"> to correct this issue. </w:t>
      </w:r>
    </w:p>
    <w:p w14:paraId="072235EE" w14:textId="1E5A8AE2" w:rsidR="0060741B" w:rsidRDefault="0060741B" w:rsidP="0060741B">
      <w:pPr>
        <w:pStyle w:val="Heading2"/>
        <w:numPr>
          <w:ilvl w:val="0"/>
          <w:numId w:val="0"/>
        </w:numPr>
      </w:pPr>
    </w:p>
    <w:p w14:paraId="128EC8A3" w14:textId="0B982951" w:rsidR="0060741B" w:rsidRDefault="0060741B" w:rsidP="0060741B">
      <w:pPr>
        <w:pStyle w:val="BodyText"/>
        <w:rPr>
          <w:lang w:val="en-AU"/>
        </w:rPr>
      </w:pPr>
    </w:p>
    <w:p w14:paraId="6775C1AB" w14:textId="22341535" w:rsidR="0060741B" w:rsidRDefault="0060741B" w:rsidP="0060741B">
      <w:pPr>
        <w:pStyle w:val="BodyText"/>
        <w:rPr>
          <w:lang w:val="en-AU"/>
        </w:rPr>
      </w:pPr>
    </w:p>
    <w:p w14:paraId="431E66C6" w14:textId="77777777" w:rsidR="0060741B" w:rsidRPr="0060741B" w:rsidRDefault="0060741B" w:rsidP="0060741B">
      <w:pPr>
        <w:pStyle w:val="BodyText"/>
        <w:rPr>
          <w:lang w:val="en-AU"/>
        </w:rPr>
      </w:pPr>
    </w:p>
    <w:p w14:paraId="465607D1" w14:textId="24275F01" w:rsidR="00025303" w:rsidRDefault="00335535" w:rsidP="002221B1">
      <w:pPr>
        <w:pStyle w:val="Heading1"/>
      </w:pPr>
      <w:bookmarkStart w:id="50" w:name="_Toc495327993"/>
      <w:r>
        <w:t>Trustpower’s r</w:t>
      </w:r>
      <w:r w:rsidR="002221B1">
        <w:t>e</w:t>
      </w:r>
      <w:r w:rsidR="00BF5A6C">
        <w:t>quested</w:t>
      </w:r>
      <w:r w:rsidR="000712F4">
        <w:t xml:space="preserve"> </w:t>
      </w:r>
      <w:r w:rsidR="00BF5A6C">
        <w:t>changes to</w:t>
      </w:r>
      <w:r w:rsidR="00F57ACA">
        <w:t xml:space="preserve"> the</w:t>
      </w:r>
      <w:r w:rsidR="00BF5A6C">
        <w:t xml:space="preserve"> </w:t>
      </w:r>
      <w:r w:rsidR="00AF7770">
        <w:t>GTAC</w:t>
      </w:r>
      <w:r w:rsidR="00F57ACA">
        <w:t xml:space="preserve"> and </w:t>
      </w:r>
      <w:r>
        <w:t xml:space="preserve">suggested </w:t>
      </w:r>
      <w:r w:rsidR="00F57ACA">
        <w:t>next steps</w:t>
      </w:r>
      <w:bookmarkEnd w:id="50"/>
    </w:p>
    <w:p w14:paraId="4654B76A" w14:textId="6930265B" w:rsidR="002221B1" w:rsidRPr="00CD455A" w:rsidRDefault="00BF5A6C" w:rsidP="002221B1">
      <w:pPr>
        <w:pStyle w:val="Numberedparagraph"/>
        <w:rPr>
          <w:b w:val="0"/>
        </w:rPr>
      </w:pPr>
      <w:r>
        <w:rPr>
          <w:b w:val="0"/>
        </w:rPr>
        <w:t>At this stage in the negotiation, we request the following</w:t>
      </w:r>
      <w:r w:rsidR="00F57ACA">
        <w:rPr>
          <w:b w:val="0"/>
        </w:rPr>
        <w:t xml:space="preserve"> from First Gas</w:t>
      </w:r>
      <w:r w:rsidR="002221B1">
        <w:rPr>
          <w:b w:val="0"/>
        </w:rPr>
        <w:t>:</w:t>
      </w:r>
    </w:p>
    <w:p w14:paraId="0C786CAE" w14:textId="7E55869E" w:rsidR="00CD455A" w:rsidRPr="00CD455A" w:rsidRDefault="00F57ACA" w:rsidP="00036063">
      <w:pPr>
        <w:pStyle w:val="Numberedsubparagraph"/>
        <w:numPr>
          <w:ilvl w:val="0"/>
          <w:numId w:val="45"/>
        </w:numPr>
      </w:pPr>
      <w:r w:rsidRPr="00036063">
        <w:rPr>
          <w:b/>
        </w:rPr>
        <w:t>To explore a</w:t>
      </w:r>
      <w:r w:rsidR="00CD455A" w:rsidRPr="00036063">
        <w:rPr>
          <w:b/>
        </w:rPr>
        <w:t xml:space="preserve"> delay to implemen</w:t>
      </w:r>
      <w:r w:rsidRPr="00036063">
        <w:rPr>
          <w:b/>
        </w:rPr>
        <w:t xml:space="preserve">ting the </w:t>
      </w:r>
      <w:r w:rsidR="00AF7770" w:rsidRPr="00036063">
        <w:rPr>
          <w:b/>
        </w:rPr>
        <w:t>GTAC</w:t>
      </w:r>
      <w:r w:rsidR="00CD455A">
        <w:t xml:space="preserve">. </w:t>
      </w:r>
      <w:r w:rsidR="00011FE6">
        <w:t>An extension to the period over which the VTC applies of less than 12 months</w:t>
      </w:r>
      <w:r w:rsidR="00CD455A">
        <w:t xml:space="preserve"> would </w:t>
      </w:r>
      <w:r w:rsidR="00011FE6">
        <w:t xml:space="preserve">allow further time for First Gas and the industry to consider the core design issues identified during </w:t>
      </w:r>
      <w:r w:rsidR="007C35D4">
        <w:t>the negotiation phase</w:t>
      </w:r>
      <w:r w:rsidR="00011FE6">
        <w:t xml:space="preserve">, and ensure that the arrangements will work as intended at commencement of the new </w:t>
      </w:r>
      <w:r w:rsidR="00AF7770">
        <w:t>GTAC</w:t>
      </w:r>
      <w:r w:rsidR="00011FE6">
        <w:t xml:space="preserve">. </w:t>
      </w:r>
      <w:r>
        <w:t xml:space="preserve">First Gas should explore this further and </w:t>
      </w:r>
      <w:r w:rsidR="007C35D4">
        <w:t xml:space="preserve">discuss </w:t>
      </w:r>
      <w:r>
        <w:t>with all Shippers and interconnected parties.</w:t>
      </w:r>
    </w:p>
    <w:p w14:paraId="596E829A" w14:textId="773C565C" w:rsidR="00CD455A" w:rsidRDefault="00F57ACA" w:rsidP="00361614">
      <w:pPr>
        <w:pStyle w:val="Numberedsubparagraph"/>
      </w:pPr>
      <w:r>
        <w:rPr>
          <w:b/>
        </w:rPr>
        <w:t>To remove t</w:t>
      </w:r>
      <w:r w:rsidR="00CD455A" w:rsidRPr="00CD455A">
        <w:rPr>
          <w:b/>
        </w:rPr>
        <w:t xml:space="preserve">he concept of Priority Rights in its entirety from the proposed </w:t>
      </w:r>
      <w:r w:rsidR="00AF7770">
        <w:rPr>
          <w:b/>
        </w:rPr>
        <w:t>GTAC</w:t>
      </w:r>
      <w:r w:rsidR="00CD455A">
        <w:t xml:space="preserve">. </w:t>
      </w:r>
      <w:r>
        <w:t xml:space="preserve">We suggest a discussion with all Shippers is arranged to seek their commitment </w:t>
      </w:r>
      <w:r w:rsidR="00CD455A">
        <w:t>to w</w:t>
      </w:r>
      <w:r w:rsidR="00CD455A" w:rsidRPr="00CD455A">
        <w:t xml:space="preserve">ork with First Gas </w:t>
      </w:r>
      <w:r w:rsidR="008535C4">
        <w:t xml:space="preserve">to design a </w:t>
      </w:r>
      <w:r w:rsidR="00CD455A" w:rsidRPr="00CD455A">
        <w:t xml:space="preserve">resilient and robust arrangement for addressing congestion over the 12 months following implementation of the new </w:t>
      </w:r>
      <w:r w:rsidR="00AF7770">
        <w:t>GTAC</w:t>
      </w:r>
      <w:r w:rsidR="00011FE6">
        <w:rPr>
          <w:rStyle w:val="FootnoteReference"/>
        </w:rPr>
        <w:footnoteReference w:id="32"/>
      </w:r>
      <w:r w:rsidR="00CD455A" w:rsidRPr="00CD455A">
        <w:t xml:space="preserve">. An expert </w:t>
      </w:r>
      <w:r w:rsidR="00F77EA8">
        <w:t xml:space="preserve">in </w:t>
      </w:r>
      <w:r w:rsidR="00CD455A" w:rsidRPr="00CD455A">
        <w:t>market design could also be engaged during this period to ensure the current pitfalls with the arrangements can be avoided.</w:t>
      </w:r>
      <w:r w:rsidR="00011FE6">
        <w:t xml:space="preserve"> </w:t>
      </w:r>
    </w:p>
    <w:p w14:paraId="2A89B058" w14:textId="60C9F770" w:rsidR="00CD455A" w:rsidRDefault="00CD455A" w:rsidP="00CD455A">
      <w:pPr>
        <w:pStyle w:val="Numberedsubparagraph"/>
        <w:numPr>
          <w:ilvl w:val="0"/>
          <w:numId w:val="0"/>
        </w:numPr>
        <w:ind w:left="1352"/>
      </w:pPr>
      <w:r w:rsidRPr="00CD455A">
        <w:t xml:space="preserve">If First Gas does not remove the concept of Priority Rights from the proposed </w:t>
      </w:r>
      <w:r w:rsidR="00AF7770">
        <w:t>GTAC</w:t>
      </w:r>
      <w:r w:rsidRPr="00CD455A">
        <w:t xml:space="preserve"> then</w:t>
      </w:r>
      <w:r>
        <w:t xml:space="preserve"> there are changes to the current arrangements that are required at a minimum including:</w:t>
      </w:r>
    </w:p>
    <w:p w14:paraId="081F2905" w14:textId="1E9ECEB8" w:rsidR="00164F79" w:rsidRPr="00164F79" w:rsidRDefault="00164F79" w:rsidP="00361614">
      <w:pPr>
        <w:pStyle w:val="Numberedsubparagraph"/>
        <w:numPr>
          <w:ilvl w:val="1"/>
          <w:numId w:val="35"/>
        </w:numPr>
      </w:pPr>
      <w:r w:rsidRPr="00164F79">
        <w:t xml:space="preserve">Excluding </w:t>
      </w:r>
      <w:r w:rsidR="00D12BFD">
        <w:t xml:space="preserve">mass market end users from needing Priority Rights, </w:t>
      </w:r>
      <w:r w:rsidRPr="00164F79">
        <w:t xml:space="preserve">or automatically assigning </w:t>
      </w:r>
      <w:r w:rsidR="00D12BFD">
        <w:t>them rights upfront</w:t>
      </w:r>
      <w:r>
        <w:rPr>
          <w:rStyle w:val="FootnoteReference"/>
        </w:rPr>
        <w:footnoteReference w:id="33"/>
      </w:r>
      <w:r w:rsidRPr="00164F79">
        <w:t>;</w:t>
      </w:r>
    </w:p>
    <w:p w14:paraId="0FA85AFB" w14:textId="04F3C7D4" w:rsidR="00CD455A" w:rsidRPr="00434595" w:rsidRDefault="009A4B21" w:rsidP="00361614">
      <w:pPr>
        <w:pStyle w:val="Numberedsubparagraph"/>
        <w:numPr>
          <w:ilvl w:val="1"/>
          <w:numId w:val="35"/>
        </w:numPr>
      </w:pPr>
      <w:r w:rsidRPr="00434595">
        <w:t xml:space="preserve">Allowing Priority </w:t>
      </w:r>
      <w:r w:rsidR="00434595">
        <w:t>R</w:t>
      </w:r>
      <w:r w:rsidR="00D12BFD">
        <w:t>ights to be exercised at any n</w:t>
      </w:r>
      <w:r w:rsidRPr="00434595">
        <w:t>ominatio</w:t>
      </w:r>
      <w:r w:rsidR="00D12BFD">
        <w:t>n cycle, subject to deemed flow;</w:t>
      </w:r>
    </w:p>
    <w:p w14:paraId="6626AE7F" w14:textId="6F3F2C6D" w:rsidR="00CD455A" w:rsidRDefault="0028699D" w:rsidP="00361614">
      <w:pPr>
        <w:pStyle w:val="Numberedsubparagraph"/>
        <w:numPr>
          <w:ilvl w:val="1"/>
          <w:numId w:val="35"/>
        </w:numPr>
      </w:pPr>
      <w:r>
        <w:t xml:space="preserve">Clarification that Interruptible </w:t>
      </w:r>
      <w:r w:rsidR="00C232A7">
        <w:t>Agreements</w:t>
      </w:r>
      <w:r w:rsidR="00CD455A">
        <w:t xml:space="preserve"> must be entered into</w:t>
      </w:r>
      <w:r w:rsidR="009A4B21">
        <w:t>, and notified to the market,</w:t>
      </w:r>
      <w:r w:rsidR="00CD455A">
        <w:t xml:space="preserve"> prior to an auction being held;</w:t>
      </w:r>
    </w:p>
    <w:p w14:paraId="04D67ABE" w14:textId="67938F9C" w:rsidR="00CD455A" w:rsidRPr="00335535" w:rsidRDefault="00CD455A" w:rsidP="00361614">
      <w:pPr>
        <w:pStyle w:val="Numberedsubparagraph"/>
        <w:numPr>
          <w:ilvl w:val="1"/>
          <w:numId w:val="35"/>
        </w:numPr>
      </w:pPr>
      <w:r>
        <w:t xml:space="preserve">Inclusion of principles </w:t>
      </w:r>
      <w:r w:rsidRPr="00335535">
        <w:t>around how the auction should work; and</w:t>
      </w:r>
    </w:p>
    <w:p w14:paraId="711F8F3C" w14:textId="6DE46F91" w:rsidR="00CD455A" w:rsidRDefault="00CD455A" w:rsidP="00361614">
      <w:pPr>
        <w:pStyle w:val="Numberedsubparagraph"/>
        <w:numPr>
          <w:ilvl w:val="1"/>
          <w:numId w:val="35"/>
        </w:numPr>
      </w:pPr>
      <w:r w:rsidRPr="00335535">
        <w:t xml:space="preserve">Other mark-ups in Appendix </w:t>
      </w:r>
      <w:r w:rsidR="00552F95">
        <w:t>C</w:t>
      </w:r>
      <w:r w:rsidRPr="00335535">
        <w:t xml:space="preserve"> which are required to endure clarity and attempt to assist with workability</w:t>
      </w:r>
      <w:r w:rsidR="000A2D4D" w:rsidRPr="00335535">
        <w:t xml:space="preserve"> of the Priority Rights arrangements</w:t>
      </w:r>
      <w:r w:rsidRPr="00335535">
        <w:t>.</w:t>
      </w:r>
    </w:p>
    <w:p w14:paraId="6F98FCF1" w14:textId="7D72B6C0" w:rsidR="00164F79" w:rsidRPr="00335535" w:rsidRDefault="00164F79" w:rsidP="00164F79">
      <w:pPr>
        <w:pStyle w:val="Numberedsubparagraph"/>
        <w:numPr>
          <w:ilvl w:val="0"/>
          <w:numId w:val="0"/>
        </w:numPr>
        <w:ind w:left="1352"/>
      </w:pPr>
      <w:r>
        <w:t>We also suggest that transitional arrangements for existing Shippers should</w:t>
      </w:r>
      <w:r w:rsidR="00714B50">
        <w:t xml:space="preserve"> be explored regardless of First Gas’ decision around removing Priority Rights from the GTAC. </w:t>
      </w:r>
    </w:p>
    <w:p w14:paraId="06B512BE" w14:textId="7873C935" w:rsidR="00F57ACA" w:rsidRPr="00335535" w:rsidRDefault="00F57ACA" w:rsidP="00361614">
      <w:pPr>
        <w:pStyle w:val="Numberedsubparagraph"/>
      </w:pPr>
      <w:r w:rsidRPr="00335535">
        <w:rPr>
          <w:b/>
        </w:rPr>
        <w:t>To establish a</w:t>
      </w:r>
      <w:r w:rsidR="00CD455A" w:rsidRPr="00335535">
        <w:rPr>
          <w:b/>
        </w:rPr>
        <w:t xml:space="preserve"> compliance body </w:t>
      </w:r>
      <w:r w:rsidRPr="00335535">
        <w:rPr>
          <w:b/>
        </w:rPr>
        <w:t xml:space="preserve">within the </w:t>
      </w:r>
      <w:r w:rsidR="00AF7770">
        <w:rPr>
          <w:b/>
        </w:rPr>
        <w:t>GTAC</w:t>
      </w:r>
      <w:r w:rsidRPr="00335535">
        <w:rPr>
          <w:b/>
        </w:rPr>
        <w:t xml:space="preserve"> </w:t>
      </w:r>
      <w:r w:rsidR="00CD455A" w:rsidRPr="00335535">
        <w:rPr>
          <w:b/>
        </w:rPr>
        <w:t xml:space="preserve">to provide oversight of the entire </w:t>
      </w:r>
      <w:r w:rsidR="00AF7770">
        <w:rPr>
          <w:b/>
        </w:rPr>
        <w:t>GTAC</w:t>
      </w:r>
      <w:r w:rsidR="00CD455A" w:rsidRPr="00335535">
        <w:t xml:space="preserve">. </w:t>
      </w:r>
      <w:r w:rsidR="00A74B33">
        <w:t>T</w:t>
      </w:r>
      <w:r w:rsidR="00CD455A" w:rsidRPr="00335535">
        <w:t>his should be adopted regardless of the decision around removing Priority Rights.</w:t>
      </w:r>
      <w:r w:rsidRPr="00335535">
        <w:t xml:space="preserve"> We have suggested drafting to be adopted in the </w:t>
      </w:r>
      <w:r w:rsidR="00AF7770">
        <w:t>GTAC</w:t>
      </w:r>
      <w:r w:rsidR="00552F95">
        <w:t xml:space="preserve"> in Appendix B</w:t>
      </w:r>
      <w:r w:rsidRPr="00335535">
        <w:t xml:space="preserve">. </w:t>
      </w:r>
      <w:r w:rsidR="004F395E">
        <w:t xml:space="preserve"> </w:t>
      </w:r>
    </w:p>
    <w:p w14:paraId="2FC39793" w14:textId="085B7BF5" w:rsidR="00011FE6" w:rsidRPr="00335535" w:rsidRDefault="00F57ACA" w:rsidP="00361614">
      <w:pPr>
        <w:pStyle w:val="Numberedsubparagraph"/>
      </w:pPr>
      <w:r w:rsidRPr="00335535">
        <w:t>T</w:t>
      </w:r>
      <w:r w:rsidR="00011FE6" w:rsidRPr="00335535">
        <w:t xml:space="preserve">o incorporate all mark-ups and consider those additional stated matters as presented in Appendix </w:t>
      </w:r>
      <w:r w:rsidR="00552F95">
        <w:t>C</w:t>
      </w:r>
      <w:r w:rsidR="00011FE6" w:rsidRPr="00335535">
        <w:t>.</w:t>
      </w:r>
    </w:p>
    <w:p w14:paraId="1CC78402" w14:textId="133C2CD5" w:rsidR="00F57ACA" w:rsidRPr="00CB6062" w:rsidRDefault="00F57ACA" w:rsidP="00CB6062">
      <w:pPr>
        <w:pStyle w:val="Numberedparagraph"/>
        <w:rPr>
          <w:b w:val="0"/>
        </w:rPr>
        <w:sectPr w:rsidR="00F57ACA" w:rsidRPr="00CB6062" w:rsidSect="001533BA">
          <w:headerReference w:type="default" r:id="rId13"/>
          <w:footerReference w:type="default" r:id="rId14"/>
          <w:pgSz w:w="11907" w:h="16840" w:code="9"/>
          <w:pgMar w:top="1440" w:right="1134" w:bottom="1440" w:left="1418" w:header="709" w:footer="709" w:gutter="0"/>
          <w:cols w:space="708"/>
          <w:docGrid w:linePitch="272"/>
        </w:sectPr>
      </w:pPr>
      <w:r>
        <w:rPr>
          <w:b w:val="0"/>
        </w:rPr>
        <w:t>More broadly</w:t>
      </w:r>
      <w:r w:rsidR="00CB6062">
        <w:rPr>
          <w:b w:val="0"/>
        </w:rPr>
        <w:t>,</w:t>
      </w:r>
      <w:r>
        <w:rPr>
          <w:b w:val="0"/>
        </w:rPr>
        <w:t xml:space="preserve"> we recommend that the GIC and MBIE consider implementing regulation to ensure transparency within the broader gas market. This </w:t>
      </w:r>
      <w:r w:rsidR="00CB6062">
        <w:rPr>
          <w:b w:val="0"/>
        </w:rPr>
        <w:t>should</w:t>
      </w:r>
      <w:r>
        <w:rPr>
          <w:b w:val="0"/>
        </w:rPr>
        <w:t xml:space="preserve"> be included on the Work Programme for the GIC for FY2019</w:t>
      </w:r>
      <w:r w:rsidR="00CB6062">
        <w:rPr>
          <w:b w:val="0"/>
        </w:rPr>
        <w:t>.</w:t>
      </w:r>
    </w:p>
    <w:p w14:paraId="3322EC1E" w14:textId="2872718B" w:rsidR="001F40E9" w:rsidRPr="001533BA" w:rsidRDefault="0022396B" w:rsidP="00562FBB">
      <w:pPr>
        <w:pStyle w:val="Appendixheading1"/>
        <w:rPr>
          <w:rStyle w:val="NumberedheadingChar"/>
          <w:rFonts w:eastAsia="Batang"/>
          <w:b/>
        </w:rPr>
      </w:pPr>
      <w:bookmarkStart w:id="51" w:name="_Toc495327994"/>
      <w:r>
        <w:rPr>
          <w:rStyle w:val="NumberedheadingChar"/>
          <w:b/>
        </w:rPr>
        <w:t>The Lantau Group’s Report</w:t>
      </w:r>
      <w:bookmarkEnd w:id="51"/>
    </w:p>
    <w:p w14:paraId="77AA53A4" w14:textId="43777DB3" w:rsidR="001533BA" w:rsidRPr="00BE368A" w:rsidRDefault="001533BA" w:rsidP="001533BA">
      <w:pPr>
        <w:jc w:val="left"/>
        <w:rPr>
          <w:rFonts w:asciiTheme="minorHAnsi" w:hAnsiTheme="minorHAnsi"/>
          <w:sz w:val="22"/>
          <w:szCs w:val="22"/>
          <w:highlight w:val="yellow"/>
        </w:rPr>
      </w:pPr>
      <w:r w:rsidRPr="00A74B33">
        <w:rPr>
          <w:rFonts w:asciiTheme="minorHAnsi" w:hAnsiTheme="minorHAnsi"/>
          <w:sz w:val="22"/>
          <w:szCs w:val="22"/>
        </w:rPr>
        <w:t>“</w:t>
      </w:r>
      <w:r w:rsidR="00A74B33" w:rsidRPr="00A74B33">
        <w:rPr>
          <w:rFonts w:asciiTheme="minorHAnsi" w:hAnsiTheme="minorHAnsi"/>
          <w:i/>
          <w:sz w:val="22"/>
          <w:szCs w:val="22"/>
        </w:rPr>
        <w:t>GTAC comments</w:t>
      </w:r>
      <w:r w:rsidRPr="00A74B33">
        <w:rPr>
          <w:rFonts w:asciiTheme="minorHAnsi" w:hAnsiTheme="minorHAnsi"/>
          <w:sz w:val="22"/>
          <w:szCs w:val="22"/>
        </w:rPr>
        <w:t>”, a</w:t>
      </w:r>
      <w:r w:rsidRPr="0022396B">
        <w:rPr>
          <w:rFonts w:asciiTheme="minorHAnsi" w:hAnsiTheme="minorHAnsi"/>
          <w:sz w:val="22"/>
          <w:szCs w:val="22"/>
        </w:rPr>
        <w:t xml:space="preserve"> report by </w:t>
      </w:r>
      <w:r w:rsidR="0022396B" w:rsidRPr="0022396B">
        <w:rPr>
          <w:rFonts w:asciiTheme="minorHAnsi" w:hAnsiTheme="minorHAnsi"/>
          <w:sz w:val="22"/>
          <w:szCs w:val="22"/>
        </w:rPr>
        <w:t>The Lantau Group, 9 October 2017</w:t>
      </w:r>
      <w:r w:rsidRPr="0022396B">
        <w:rPr>
          <w:rFonts w:asciiTheme="minorHAnsi" w:hAnsiTheme="minorHAnsi"/>
          <w:sz w:val="22"/>
          <w:szCs w:val="22"/>
        </w:rPr>
        <w:t xml:space="preserve">. </w:t>
      </w:r>
    </w:p>
    <w:p w14:paraId="5C57B216" w14:textId="77777777" w:rsidR="001533BA" w:rsidRPr="00BE368A" w:rsidRDefault="001533BA" w:rsidP="001533BA">
      <w:pPr>
        <w:jc w:val="center"/>
        <w:rPr>
          <w:rFonts w:asciiTheme="minorHAnsi" w:hAnsiTheme="minorHAnsi"/>
          <w:i/>
          <w:highlight w:val="yellow"/>
        </w:rPr>
      </w:pPr>
    </w:p>
    <w:p w14:paraId="675ACDC2" w14:textId="410F30FD" w:rsidR="006B2D04" w:rsidRPr="0085389B" w:rsidRDefault="00FD4708" w:rsidP="0085389B">
      <w:pPr>
        <w:jc w:val="center"/>
        <w:rPr>
          <w:i/>
          <w:sz w:val="22"/>
          <w:szCs w:val="22"/>
        </w:rPr>
      </w:pPr>
      <w:r>
        <w:rPr>
          <w:rFonts w:asciiTheme="minorHAnsi" w:hAnsiTheme="minorHAnsi"/>
          <w:i/>
          <w:sz w:val="22"/>
          <w:szCs w:val="22"/>
        </w:rPr>
        <w:t>[</w:t>
      </w:r>
      <w:r w:rsidR="001533BA" w:rsidRPr="0085389B">
        <w:rPr>
          <w:rFonts w:asciiTheme="minorHAnsi" w:hAnsiTheme="minorHAnsi"/>
          <w:i/>
          <w:sz w:val="22"/>
          <w:szCs w:val="22"/>
        </w:rPr>
        <w:t>attached as a separate document</w:t>
      </w:r>
      <w:r>
        <w:rPr>
          <w:rFonts w:asciiTheme="minorHAnsi" w:hAnsiTheme="minorHAnsi"/>
          <w:i/>
          <w:sz w:val="22"/>
          <w:szCs w:val="22"/>
        </w:rPr>
        <w:t>]</w:t>
      </w:r>
    </w:p>
    <w:p w14:paraId="21948B28" w14:textId="77777777" w:rsidR="006B2D04" w:rsidRPr="007050E5" w:rsidRDefault="006B2D04" w:rsidP="007050E5">
      <w:pPr>
        <w:pStyle w:val="BodyText-NotIndented"/>
        <w:rPr>
          <w:rStyle w:val="NumberedheadingChar"/>
          <w:rFonts w:asciiTheme="minorHAnsi" w:hAnsiTheme="minorHAnsi"/>
          <w:b w:val="0"/>
          <w:color w:val="auto"/>
          <w:sz w:val="22"/>
          <w:szCs w:val="22"/>
          <w:lang w:eastAsia="en-US"/>
        </w:rPr>
      </w:pPr>
    </w:p>
    <w:p w14:paraId="5AAB44C9" w14:textId="77777777" w:rsidR="008C18F0" w:rsidRPr="00C41317" w:rsidRDefault="008C18F0" w:rsidP="008C18F0">
      <w:pPr>
        <w:pStyle w:val="BodyText"/>
      </w:pPr>
    </w:p>
    <w:p w14:paraId="777AC941" w14:textId="77777777" w:rsidR="008C18F0" w:rsidRPr="00C41317" w:rsidRDefault="008C18F0" w:rsidP="008C18F0">
      <w:pPr>
        <w:pStyle w:val="BodyText"/>
      </w:pPr>
    </w:p>
    <w:p w14:paraId="3C87B494" w14:textId="77777777" w:rsidR="008C18F0" w:rsidRDefault="008C18F0" w:rsidP="00D94BB5">
      <w:pPr>
        <w:pStyle w:val="Appendixheading1"/>
        <w:rPr>
          <w:rStyle w:val="NumberedheadingChar"/>
          <w:b/>
          <w:color w:val="auto"/>
        </w:rPr>
        <w:sectPr w:rsidR="008C18F0" w:rsidSect="001533BA">
          <w:pgSz w:w="11907" w:h="16840" w:code="9"/>
          <w:pgMar w:top="1440" w:right="1134" w:bottom="1440" w:left="1418" w:header="709" w:footer="709" w:gutter="0"/>
          <w:cols w:space="708"/>
          <w:docGrid w:linePitch="272"/>
        </w:sectPr>
      </w:pPr>
      <w:bookmarkStart w:id="52" w:name="_GoBack"/>
      <w:bookmarkEnd w:id="52"/>
    </w:p>
    <w:p w14:paraId="4261BA19" w14:textId="1214242F" w:rsidR="00F15D87" w:rsidRPr="00FD5964" w:rsidRDefault="0022396B" w:rsidP="00FD5964">
      <w:pPr>
        <w:pStyle w:val="Appendixheading1"/>
      </w:pPr>
      <w:bookmarkStart w:id="53" w:name="_Toc434488655"/>
      <w:bookmarkStart w:id="54" w:name="_Toc434488880"/>
      <w:bookmarkStart w:id="55" w:name="_Toc434488954"/>
      <w:bookmarkStart w:id="56" w:name="_Toc434489280"/>
      <w:bookmarkStart w:id="57" w:name="_Toc434489377"/>
      <w:bookmarkStart w:id="58" w:name="_Toc434489450"/>
      <w:bookmarkStart w:id="59" w:name="_Toc434504583"/>
      <w:bookmarkStart w:id="60" w:name="_Toc434504688"/>
      <w:bookmarkStart w:id="61" w:name="_Toc434504584"/>
      <w:bookmarkStart w:id="62" w:name="_Toc434504689"/>
      <w:bookmarkStart w:id="63" w:name="_Toc434504585"/>
      <w:bookmarkStart w:id="64" w:name="_Toc434504690"/>
      <w:bookmarkStart w:id="65" w:name="_Toc434504589"/>
      <w:bookmarkStart w:id="66" w:name="_Toc434504694"/>
      <w:bookmarkStart w:id="67" w:name="_Toc434504597"/>
      <w:bookmarkStart w:id="68" w:name="_Toc434504702"/>
      <w:bookmarkStart w:id="69" w:name="_Toc434504598"/>
      <w:bookmarkStart w:id="70" w:name="_Toc434504703"/>
      <w:bookmarkStart w:id="71" w:name="_Toc434504601"/>
      <w:bookmarkStart w:id="72" w:name="_Toc434504706"/>
      <w:bookmarkStart w:id="73" w:name="_Toc434504602"/>
      <w:bookmarkStart w:id="74" w:name="_Toc434504707"/>
      <w:bookmarkStart w:id="75" w:name="_Toc434504603"/>
      <w:bookmarkStart w:id="76" w:name="_Toc434504708"/>
      <w:bookmarkStart w:id="77" w:name="_Toc434504604"/>
      <w:bookmarkStart w:id="78" w:name="_Toc434504709"/>
      <w:bookmarkStart w:id="79" w:name="_Toc434504613"/>
      <w:bookmarkStart w:id="80" w:name="_Toc434504718"/>
      <w:bookmarkStart w:id="81" w:name="_Toc434504614"/>
      <w:bookmarkStart w:id="82" w:name="_Toc434504719"/>
      <w:bookmarkStart w:id="83" w:name="_Toc434504615"/>
      <w:bookmarkStart w:id="84" w:name="_Toc434504720"/>
      <w:bookmarkStart w:id="85" w:name="_Toc434504616"/>
      <w:bookmarkStart w:id="86" w:name="_Toc434504721"/>
      <w:bookmarkStart w:id="87" w:name="_Toc434504617"/>
      <w:bookmarkStart w:id="88" w:name="_Toc434504722"/>
      <w:bookmarkStart w:id="89" w:name="_Toc49532799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lastRenderedPageBreak/>
        <w:t xml:space="preserve">Proposed drafting </w:t>
      </w:r>
      <w:r w:rsidR="00FD5964">
        <w:t xml:space="preserve">to implement a compliance body– GTAC and </w:t>
      </w:r>
      <w:r w:rsidR="00FD5964" w:rsidRPr="00F15D87">
        <w:rPr>
          <w:rFonts w:cs="Arial"/>
          <w:lang w:eastAsia="en-NZ"/>
        </w:rPr>
        <w:t>Gas Governance (Compliance) Regulations 2008</w:t>
      </w:r>
      <w:bookmarkEnd w:id="89"/>
    </w:p>
    <w:p w14:paraId="03452944" w14:textId="69EDDC04" w:rsidR="00FD5964" w:rsidRDefault="00FD5964" w:rsidP="00FD5964">
      <w:pPr>
        <w:rPr>
          <w:rFonts w:cs="Arial"/>
          <w:i/>
          <w:u w:val="single"/>
        </w:rPr>
      </w:pPr>
      <w:r w:rsidRPr="00FD5964">
        <w:rPr>
          <w:rFonts w:cs="Arial"/>
          <w:i/>
          <w:u w:val="single"/>
        </w:rPr>
        <w:t xml:space="preserve">Proposed amendments to the draft GTAC </w:t>
      </w:r>
    </w:p>
    <w:p w14:paraId="651E8521" w14:textId="77777777" w:rsidR="009F2BE5" w:rsidRPr="00FD5964" w:rsidRDefault="009F2BE5" w:rsidP="00FD5964">
      <w:pPr>
        <w:rPr>
          <w:rFonts w:cs="Arial"/>
          <w:i/>
          <w:u w:val="single"/>
        </w:rPr>
      </w:pPr>
    </w:p>
    <w:p w14:paraId="3A2D2AFF" w14:textId="7BA9E837" w:rsidR="00F15D87" w:rsidRPr="009F2BE5" w:rsidRDefault="009F2BE5" w:rsidP="009F2BE5">
      <w:pPr>
        <w:rPr>
          <w:b/>
          <w:sz w:val="18"/>
          <w:szCs w:val="18"/>
        </w:rPr>
      </w:pPr>
      <w:r>
        <w:rPr>
          <w:b/>
        </w:rPr>
        <w:t xml:space="preserve">1. </w:t>
      </w:r>
      <w:bookmarkStart w:id="90" w:name="_Toc494887403"/>
      <w:r w:rsidRPr="009F2BE5">
        <w:rPr>
          <w:b/>
          <w:sz w:val="18"/>
          <w:szCs w:val="18"/>
        </w:rPr>
        <w:t xml:space="preserve"> </w:t>
      </w:r>
      <w:r w:rsidR="00F15D87" w:rsidRPr="009F2BE5">
        <w:rPr>
          <w:b/>
          <w:sz w:val="18"/>
          <w:szCs w:val="18"/>
        </w:rPr>
        <w:t xml:space="preserve">Insert new section 19 in the </w:t>
      </w:r>
      <w:r w:rsidR="00FD5964" w:rsidRPr="009F2BE5">
        <w:rPr>
          <w:b/>
          <w:sz w:val="18"/>
          <w:szCs w:val="18"/>
        </w:rPr>
        <w:t>GTAC</w:t>
      </w:r>
      <w:r w:rsidR="00F15D87" w:rsidRPr="009F2BE5">
        <w:rPr>
          <w:b/>
          <w:sz w:val="18"/>
          <w:szCs w:val="18"/>
        </w:rPr>
        <w:t>: Complaints to GIC and Rulings Panel</w:t>
      </w:r>
      <w:bookmarkEnd w:id="90"/>
      <w:r w:rsidR="00F15D87" w:rsidRPr="009F2BE5">
        <w:rPr>
          <w:b/>
          <w:sz w:val="18"/>
          <w:szCs w:val="18"/>
        </w:rPr>
        <w:t xml:space="preserve"> </w:t>
      </w:r>
    </w:p>
    <w:p w14:paraId="71D75146" w14:textId="77777777" w:rsidR="00F15D87" w:rsidRPr="00F15D87" w:rsidRDefault="00F15D87" w:rsidP="00F15D87">
      <w:pPr>
        <w:spacing w:line="260" w:lineRule="atLeast"/>
        <w:ind w:left="1701"/>
        <w:contextualSpacing/>
        <w:jc w:val="left"/>
        <w:rPr>
          <w:rFonts w:eastAsia="Times New Roman" w:cs="Arial"/>
          <w:sz w:val="18"/>
          <w:szCs w:val="18"/>
          <w:lang w:eastAsia="en-NZ"/>
        </w:rPr>
      </w:pPr>
    </w:p>
    <w:p w14:paraId="6C55E60F" w14:textId="0C5B1430" w:rsidR="00F15D87" w:rsidRPr="00A057DF" w:rsidRDefault="00F15D87" w:rsidP="00F15D87">
      <w:pPr>
        <w:spacing w:line="260" w:lineRule="atLeast"/>
        <w:ind w:left="1701" w:hanging="851"/>
        <w:jc w:val="left"/>
        <w:rPr>
          <w:rFonts w:eastAsia="Times New Roman" w:cs="Arial"/>
          <w:sz w:val="18"/>
          <w:szCs w:val="18"/>
          <w:u w:val="single"/>
          <w:lang w:eastAsia="en-NZ"/>
        </w:rPr>
      </w:pPr>
      <w:r w:rsidRPr="00A057DF">
        <w:rPr>
          <w:rFonts w:eastAsia="Times New Roman" w:cs="Arial"/>
          <w:sz w:val="18"/>
          <w:szCs w:val="18"/>
          <w:u w:val="single"/>
          <w:lang w:eastAsia="en-NZ"/>
        </w:rPr>
        <w:t>19.1</w:t>
      </w:r>
      <w:r w:rsidRPr="00A057DF">
        <w:rPr>
          <w:rFonts w:eastAsia="Times New Roman" w:cs="Arial"/>
          <w:sz w:val="18"/>
          <w:szCs w:val="18"/>
          <w:u w:val="single"/>
          <w:lang w:eastAsia="en-NZ"/>
        </w:rPr>
        <w:tab/>
        <w:t>Notwithstanding section 18, a Shipper or First Gas may, by notice in writing to the GIC, make a Complaint.  The notice must contain sufficient details of the alleged breach or conduct, including the date of the alleged breach or conduct and the parties involved.</w:t>
      </w:r>
      <w:r w:rsidRPr="00A057DF">
        <w:rPr>
          <w:rFonts w:eastAsia="Times New Roman" w:cs="Arial"/>
          <w:b/>
          <w:sz w:val="18"/>
          <w:szCs w:val="18"/>
          <w:u w:val="single"/>
          <w:lang w:eastAsia="en-NZ"/>
        </w:rPr>
        <w:t xml:space="preserve"> </w:t>
      </w:r>
    </w:p>
    <w:p w14:paraId="3667C290" w14:textId="77777777" w:rsidR="00F15D87" w:rsidRPr="00F15D87" w:rsidRDefault="00F15D87" w:rsidP="00F15D87">
      <w:pPr>
        <w:spacing w:line="260" w:lineRule="atLeast"/>
        <w:ind w:left="1701"/>
        <w:contextualSpacing/>
        <w:jc w:val="left"/>
        <w:rPr>
          <w:rFonts w:eastAsia="Times New Roman" w:cs="Arial"/>
          <w:sz w:val="18"/>
          <w:szCs w:val="18"/>
          <w:lang w:eastAsia="en-NZ"/>
        </w:rPr>
      </w:pPr>
    </w:p>
    <w:p w14:paraId="459FE48E" w14:textId="70D4E3D9" w:rsidR="00F15D87" w:rsidRPr="00A057DF" w:rsidRDefault="00F15D87" w:rsidP="00F15D87">
      <w:pPr>
        <w:spacing w:line="260" w:lineRule="atLeast"/>
        <w:ind w:left="1701" w:hanging="851"/>
        <w:jc w:val="left"/>
        <w:rPr>
          <w:rFonts w:eastAsia="Times New Roman" w:cs="Arial"/>
          <w:sz w:val="18"/>
          <w:szCs w:val="18"/>
          <w:u w:val="single"/>
          <w:lang w:eastAsia="en-NZ"/>
        </w:rPr>
      </w:pPr>
      <w:r w:rsidRPr="00A057DF">
        <w:rPr>
          <w:rFonts w:eastAsia="Times New Roman" w:cs="Arial"/>
          <w:sz w:val="18"/>
          <w:szCs w:val="18"/>
          <w:u w:val="single"/>
          <w:lang w:eastAsia="en-NZ"/>
        </w:rPr>
        <w:t>19.2</w:t>
      </w:r>
      <w:r w:rsidR="00A057DF" w:rsidRPr="00A057DF">
        <w:rPr>
          <w:rFonts w:eastAsia="Times New Roman" w:cs="Arial"/>
          <w:b/>
          <w:sz w:val="18"/>
          <w:szCs w:val="18"/>
          <w:u w:val="single"/>
          <w:lang w:eastAsia="en-NZ"/>
        </w:rPr>
        <w:tab/>
      </w:r>
      <w:r w:rsidRPr="00A057DF">
        <w:rPr>
          <w:rFonts w:eastAsia="Times New Roman" w:cs="Arial"/>
          <w:sz w:val="18"/>
          <w:szCs w:val="18"/>
          <w:u w:val="single"/>
          <w:lang w:eastAsia="en-NZ"/>
        </w:rPr>
        <w:t>By entering into a TSA, First Gas and each Shipper acknowledge and agree that where a Complaint is made pursuant to section 19.1:</w:t>
      </w:r>
    </w:p>
    <w:p w14:paraId="220FF80D" w14:textId="77777777" w:rsidR="00F15D87" w:rsidRPr="00A057DF" w:rsidRDefault="00F15D87" w:rsidP="00F15D87">
      <w:pPr>
        <w:spacing w:line="260" w:lineRule="atLeast"/>
        <w:ind w:left="1701"/>
        <w:contextualSpacing/>
        <w:jc w:val="right"/>
        <w:rPr>
          <w:rFonts w:eastAsia="Times New Roman" w:cs="Arial"/>
          <w:sz w:val="18"/>
          <w:szCs w:val="18"/>
          <w:u w:val="single"/>
          <w:lang w:eastAsia="en-NZ"/>
        </w:rPr>
      </w:pPr>
    </w:p>
    <w:p w14:paraId="59ABC3BE" w14:textId="77777777" w:rsidR="00F15D87" w:rsidRPr="00A057DF" w:rsidRDefault="00F15D87" w:rsidP="00361614">
      <w:pPr>
        <w:numPr>
          <w:ilvl w:val="1"/>
          <w:numId w:val="37"/>
        </w:numPr>
        <w:tabs>
          <w:tab w:val="num" w:pos="2552"/>
        </w:tabs>
        <w:spacing w:line="260" w:lineRule="atLeast"/>
        <w:ind w:left="2552"/>
        <w:contextualSpacing/>
        <w:jc w:val="left"/>
        <w:rPr>
          <w:rFonts w:eastAsia="Times New Roman" w:cs="Arial"/>
          <w:sz w:val="18"/>
          <w:szCs w:val="18"/>
          <w:u w:val="single"/>
          <w:lang w:eastAsia="en-NZ"/>
        </w:rPr>
      </w:pPr>
      <w:r w:rsidRPr="00A057DF">
        <w:rPr>
          <w:rFonts w:eastAsia="Times New Roman" w:cs="Arial"/>
          <w:sz w:val="18"/>
          <w:szCs w:val="18"/>
          <w:u w:val="single"/>
          <w:lang w:eastAsia="en-NZ"/>
        </w:rPr>
        <w:t xml:space="preserve">GIC shall have the powers, rights and obligations of the market administrator  as set out in the Gas Governance Regulations in respect of the Complaint, as if the Complaint were an alleged breach of the rules under the Gas Governance Regulations; and </w:t>
      </w:r>
    </w:p>
    <w:p w14:paraId="2D8132A1" w14:textId="77777777" w:rsidR="00F15D87" w:rsidRPr="00A057DF" w:rsidRDefault="00F15D87" w:rsidP="00F15D87">
      <w:pPr>
        <w:tabs>
          <w:tab w:val="num" w:pos="2552"/>
        </w:tabs>
        <w:spacing w:line="260" w:lineRule="atLeast"/>
        <w:ind w:left="2552" w:hanging="851"/>
        <w:contextualSpacing/>
        <w:jc w:val="left"/>
        <w:rPr>
          <w:rFonts w:eastAsia="Times New Roman" w:cs="Arial"/>
          <w:sz w:val="18"/>
          <w:szCs w:val="18"/>
          <w:u w:val="single"/>
          <w:lang w:eastAsia="en-NZ"/>
        </w:rPr>
      </w:pPr>
    </w:p>
    <w:p w14:paraId="508025D3" w14:textId="082EFB8F" w:rsidR="00F15D87" w:rsidRPr="00A057DF" w:rsidRDefault="00F15D87" w:rsidP="00361614">
      <w:pPr>
        <w:numPr>
          <w:ilvl w:val="1"/>
          <w:numId w:val="37"/>
        </w:numPr>
        <w:tabs>
          <w:tab w:val="num" w:pos="2552"/>
        </w:tabs>
        <w:spacing w:line="260" w:lineRule="atLeast"/>
        <w:ind w:left="2552"/>
        <w:contextualSpacing/>
        <w:jc w:val="left"/>
        <w:rPr>
          <w:rFonts w:eastAsia="Times New Roman" w:cs="Arial"/>
          <w:lang w:eastAsia="en-NZ"/>
        </w:rPr>
      </w:pPr>
      <w:r w:rsidRPr="00A057DF">
        <w:rPr>
          <w:rFonts w:eastAsia="Times New Roman" w:cs="Arial"/>
          <w:sz w:val="18"/>
          <w:szCs w:val="18"/>
          <w:u w:val="single"/>
          <w:lang w:eastAsia="en-NZ"/>
        </w:rPr>
        <w:t>the Rulings Panel shall have the powers, rights and obligations as set out in the Gas Governance Regulations in respect of the Complaint, as if the Complaint were an alleged breach of the rules under the Gas Governance Regulations</w:t>
      </w:r>
      <w:r w:rsidRPr="00F15D87">
        <w:rPr>
          <w:rFonts w:eastAsia="Times New Roman" w:cs="Arial"/>
          <w:sz w:val="18"/>
          <w:szCs w:val="18"/>
          <w:lang w:eastAsia="en-NZ"/>
        </w:rPr>
        <w:t>.</w:t>
      </w:r>
      <w:r w:rsidR="00A057DF">
        <w:rPr>
          <w:rFonts w:eastAsia="Times New Roman" w:cs="Arial"/>
          <w:sz w:val="18"/>
          <w:szCs w:val="18"/>
          <w:lang w:eastAsia="en-NZ"/>
        </w:rPr>
        <w:t xml:space="preserve"> </w:t>
      </w:r>
      <w:r w:rsidRPr="00F15D87">
        <w:rPr>
          <w:rFonts w:eastAsia="Times New Roman" w:cs="Arial"/>
          <w:b/>
          <w:sz w:val="18"/>
          <w:szCs w:val="18"/>
          <w:lang w:eastAsia="en-NZ"/>
        </w:rPr>
        <w:t>[</w:t>
      </w:r>
      <w:r w:rsidRPr="00A057DF">
        <w:rPr>
          <w:rFonts w:eastAsia="Times New Roman" w:cs="Arial"/>
          <w:b/>
          <w:i/>
          <w:sz w:val="18"/>
          <w:szCs w:val="18"/>
          <w:lang w:eastAsia="en-NZ"/>
        </w:rPr>
        <w:t>Draftin</w:t>
      </w:r>
      <w:r w:rsidR="00A057DF" w:rsidRPr="00A057DF">
        <w:rPr>
          <w:rFonts w:eastAsia="Times New Roman" w:cs="Arial"/>
          <w:b/>
          <w:i/>
          <w:sz w:val="18"/>
          <w:szCs w:val="18"/>
          <w:lang w:eastAsia="en-NZ"/>
        </w:rPr>
        <w:t xml:space="preserve">g note: </w:t>
      </w:r>
      <w:r w:rsidR="00B63F65">
        <w:rPr>
          <w:rFonts w:eastAsia="Times New Roman" w:cs="Arial"/>
          <w:b/>
          <w:i/>
          <w:sz w:val="18"/>
          <w:szCs w:val="18"/>
          <w:lang w:eastAsia="en-NZ"/>
        </w:rPr>
        <w:t>W</w:t>
      </w:r>
      <w:r w:rsidRPr="00A057DF">
        <w:rPr>
          <w:rFonts w:eastAsia="Times New Roman" w:cs="Arial"/>
          <w:b/>
          <w:i/>
          <w:sz w:val="18"/>
          <w:szCs w:val="18"/>
          <w:lang w:eastAsia="en-NZ"/>
        </w:rPr>
        <w:t>e suggest</w:t>
      </w:r>
      <w:r w:rsidR="00B63F65">
        <w:rPr>
          <w:rFonts w:eastAsia="Times New Roman" w:cs="Arial"/>
          <w:b/>
          <w:i/>
          <w:sz w:val="18"/>
          <w:szCs w:val="18"/>
          <w:lang w:eastAsia="en-NZ"/>
        </w:rPr>
        <w:t xml:space="preserve"> this paragraph</w:t>
      </w:r>
      <w:r w:rsidRPr="00A057DF">
        <w:rPr>
          <w:rFonts w:eastAsia="Times New Roman" w:cs="Arial"/>
          <w:b/>
          <w:i/>
          <w:sz w:val="18"/>
          <w:szCs w:val="18"/>
          <w:lang w:eastAsia="en-NZ"/>
        </w:rPr>
        <w:t xml:space="preserve"> is inserted to </w:t>
      </w:r>
      <w:r w:rsidR="00A057DF" w:rsidRPr="00A057DF">
        <w:rPr>
          <w:rFonts w:eastAsia="Times New Roman" w:cs="Arial"/>
          <w:b/>
          <w:i/>
          <w:sz w:val="18"/>
          <w:szCs w:val="18"/>
          <w:lang w:eastAsia="en-NZ"/>
        </w:rPr>
        <w:t>provide clarity to Shippers and First Gas</w:t>
      </w:r>
      <w:r w:rsidRPr="00A057DF">
        <w:rPr>
          <w:rFonts w:eastAsia="Times New Roman" w:cs="Arial"/>
          <w:b/>
          <w:i/>
          <w:sz w:val="18"/>
          <w:szCs w:val="18"/>
          <w:lang w:eastAsia="en-NZ"/>
        </w:rPr>
        <w:t xml:space="preserve"> that the GIC and Rulings Panel is the compliance body</w:t>
      </w:r>
      <w:r w:rsidRPr="00A057DF">
        <w:rPr>
          <w:rFonts w:eastAsia="Times New Roman" w:cs="Arial"/>
          <w:b/>
          <w:sz w:val="18"/>
          <w:szCs w:val="18"/>
          <w:lang w:eastAsia="en-NZ"/>
        </w:rPr>
        <w:t>.]</w:t>
      </w:r>
    </w:p>
    <w:p w14:paraId="5F37F999" w14:textId="48E25AA0" w:rsidR="00F15D87" w:rsidRPr="00F15D87" w:rsidRDefault="009F2BE5" w:rsidP="009F2BE5">
      <w:pPr>
        <w:tabs>
          <w:tab w:val="num" w:pos="3828"/>
        </w:tabs>
        <w:spacing w:before="240" w:line="260" w:lineRule="atLeast"/>
        <w:jc w:val="left"/>
        <w:outlineLvl w:val="0"/>
        <w:rPr>
          <w:rFonts w:eastAsia="Times New Roman" w:cs="Arial"/>
          <w:b/>
          <w:i/>
          <w:kern w:val="28"/>
          <w:sz w:val="18"/>
          <w:szCs w:val="18"/>
          <w:lang w:eastAsia="en-NZ"/>
        </w:rPr>
      </w:pPr>
      <w:r w:rsidRPr="00A057DF">
        <w:rPr>
          <w:rFonts w:eastAsia="Times New Roman" w:cs="Arial"/>
          <w:b/>
          <w:kern w:val="28"/>
          <w:sz w:val="18"/>
          <w:szCs w:val="18"/>
          <w:lang w:eastAsia="en-NZ"/>
        </w:rPr>
        <w:t xml:space="preserve">2.  </w:t>
      </w:r>
      <w:r w:rsidR="00F15D87" w:rsidRPr="00A057DF">
        <w:rPr>
          <w:rFonts w:eastAsia="Times New Roman" w:cs="Arial"/>
          <w:b/>
          <w:kern w:val="28"/>
          <w:sz w:val="18"/>
          <w:szCs w:val="18"/>
          <w:lang w:eastAsia="en-NZ"/>
        </w:rPr>
        <w:t xml:space="preserve">Amendment to Section 18.1: </w:t>
      </w:r>
      <w:r w:rsidR="00F15D87" w:rsidRPr="00A057DF">
        <w:rPr>
          <w:rFonts w:eastAsia="Times New Roman" w:cs="Arial"/>
          <w:b/>
          <w:i/>
          <w:kern w:val="28"/>
          <w:sz w:val="18"/>
          <w:szCs w:val="18"/>
          <w:lang w:eastAsia="en-NZ"/>
        </w:rPr>
        <w:t>Dispute Resolution</w:t>
      </w:r>
      <w:r w:rsidR="00FD5964" w:rsidRPr="00A057DF">
        <w:rPr>
          <w:rFonts w:eastAsia="Times New Roman" w:cs="Arial"/>
          <w:b/>
          <w:i/>
          <w:kern w:val="28"/>
          <w:sz w:val="18"/>
          <w:szCs w:val="18"/>
          <w:lang w:eastAsia="en-NZ"/>
        </w:rPr>
        <w:t xml:space="preserve"> </w:t>
      </w:r>
      <w:r w:rsidR="00FD5964" w:rsidRPr="00A057DF">
        <w:rPr>
          <w:rFonts w:eastAsia="Times New Roman" w:cs="Arial"/>
          <w:b/>
          <w:kern w:val="28"/>
          <w:sz w:val="18"/>
          <w:szCs w:val="18"/>
          <w:lang w:eastAsia="en-NZ"/>
        </w:rPr>
        <w:t>of GTAC</w:t>
      </w:r>
    </w:p>
    <w:p w14:paraId="016F5CA5" w14:textId="77777777" w:rsidR="00F15D87" w:rsidRPr="00F15D87" w:rsidRDefault="00F15D87" w:rsidP="00F15D87">
      <w:pPr>
        <w:spacing w:line="260" w:lineRule="atLeast"/>
        <w:jc w:val="left"/>
        <w:rPr>
          <w:rFonts w:eastAsia="Times New Roman" w:cs="Arial"/>
          <w:b/>
          <w:lang w:eastAsia="en-NZ"/>
        </w:rPr>
      </w:pPr>
    </w:p>
    <w:p w14:paraId="2841D54C" w14:textId="74D2A622" w:rsidR="00F15D87" w:rsidRPr="00F15D87" w:rsidRDefault="00F15D87" w:rsidP="00F15D87">
      <w:pPr>
        <w:spacing w:line="260" w:lineRule="atLeast"/>
        <w:ind w:left="1701" w:hanging="851"/>
        <w:jc w:val="left"/>
        <w:rPr>
          <w:rFonts w:eastAsia="Times New Roman" w:cs="Arial"/>
          <w:b/>
          <w:sz w:val="18"/>
          <w:szCs w:val="18"/>
          <w:lang w:eastAsia="en-NZ"/>
        </w:rPr>
      </w:pPr>
      <w:r w:rsidRPr="00F15D87">
        <w:rPr>
          <w:rFonts w:eastAsia="Times New Roman" w:cs="Arial"/>
          <w:sz w:val="18"/>
          <w:szCs w:val="18"/>
          <w:lang w:eastAsia="en-NZ"/>
        </w:rPr>
        <w:t>18.1</w:t>
      </w:r>
      <w:r w:rsidRPr="00F15D87">
        <w:rPr>
          <w:rFonts w:eastAsia="Times New Roman" w:cs="Arial"/>
          <w:sz w:val="18"/>
          <w:szCs w:val="18"/>
          <w:lang w:eastAsia="en-NZ"/>
        </w:rPr>
        <w:tab/>
        <w:t xml:space="preserve">Subject to </w:t>
      </w:r>
      <w:r w:rsidRPr="00F15D87">
        <w:rPr>
          <w:rFonts w:eastAsia="Times New Roman" w:cs="Arial"/>
          <w:i/>
          <w:sz w:val="18"/>
          <w:szCs w:val="18"/>
          <w:lang w:eastAsia="en-NZ"/>
        </w:rPr>
        <w:t>sections 11.28</w:t>
      </w:r>
      <w:r w:rsidRPr="00F15D87">
        <w:rPr>
          <w:rFonts w:eastAsia="Times New Roman" w:cs="Arial"/>
          <w:i/>
          <w:sz w:val="18"/>
          <w:szCs w:val="18"/>
          <w:u w:val="single"/>
          <w:lang w:eastAsia="en-NZ"/>
        </w:rPr>
        <w:t>,</w:t>
      </w:r>
      <w:r w:rsidRPr="00F15D87">
        <w:rPr>
          <w:rFonts w:eastAsia="Times New Roman" w:cs="Arial"/>
          <w:i/>
          <w:sz w:val="18"/>
          <w:szCs w:val="18"/>
          <w:lang w:eastAsia="en-NZ"/>
        </w:rPr>
        <w:t xml:space="preserve"> </w:t>
      </w:r>
      <w:r w:rsidRPr="00F15D87">
        <w:rPr>
          <w:rFonts w:eastAsia="Times New Roman" w:cs="Arial"/>
          <w:strike/>
          <w:sz w:val="18"/>
          <w:szCs w:val="18"/>
          <w:lang w:eastAsia="en-NZ"/>
        </w:rPr>
        <w:t xml:space="preserve">and </w:t>
      </w:r>
      <w:r w:rsidRPr="00F15D87">
        <w:rPr>
          <w:rFonts w:eastAsia="Times New Roman" w:cs="Arial"/>
          <w:i/>
          <w:sz w:val="18"/>
          <w:szCs w:val="18"/>
          <w:lang w:eastAsia="en-NZ"/>
        </w:rPr>
        <w:t>11.29</w:t>
      </w:r>
      <w:r w:rsidRPr="00F15D87">
        <w:rPr>
          <w:rFonts w:eastAsia="Times New Roman" w:cs="Arial"/>
          <w:i/>
          <w:sz w:val="18"/>
          <w:szCs w:val="18"/>
          <w:u w:val="single"/>
          <w:lang w:eastAsia="en-NZ"/>
        </w:rPr>
        <w:t xml:space="preserve"> and 19</w:t>
      </w:r>
      <w:r w:rsidRPr="00F15D87">
        <w:rPr>
          <w:rFonts w:eastAsia="Times New Roman" w:cs="Arial"/>
          <w:sz w:val="18"/>
          <w:szCs w:val="18"/>
          <w:lang w:eastAsia="en-NZ"/>
        </w:rPr>
        <w:t xml:space="preserve">, any dispute of whatever nature between a Shipper and First Gas, either Party may notify the other in writing that it wishes to attempt resolution of the dispute in accordance with this </w:t>
      </w:r>
      <w:r w:rsidRPr="00F15D87">
        <w:rPr>
          <w:rFonts w:eastAsia="Times New Roman" w:cs="Arial"/>
          <w:i/>
          <w:sz w:val="18"/>
          <w:szCs w:val="18"/>
          <w:lang w:eastAsia="en-NZ"/>
        </w:rPr>
        <w:t xml:space="preserve">section 18 (Dispute Notice). </w:t>
      </w:r>
      <w:r w:rsidRPr="00F15D87">
        <w:rPr>
          <w:rFonts w:eastAsia="Times New Roman" w:cs="Arial"/>
          <w:sz w:val="18"/>
          <w:szCs w:val="18"/>
          <w:lang w:eastAsia="en-NZ"/>
        </w:rPr>
        <w:t xml:space="preserve">On receipt of a Dispute Notice, the Parties shall each use reasonable endeavours to resolve the dispute by negotiation. </w:t>
      </w:r>
      <w:r w:rsidRPr="00A057DF">
        <w:rPr>
          <w:rFonts w:eastAsia="Times New Roman" w:cs="Arial"/>
          <w:b/>
          <w:sz w:val="18"/>
          <w:szCs w:val="18"/>
          <w:lang w:eastAsia="en-NZ"/>
        </w:rPr>
        <w:t>[</w:t>
      </w:r>
      <w:r w:rsidRPr="00A057DF">
        <w:rPr>
          <w:rFonts w:eastAsia="Times New Roman" w:cs="Arial"/>
          <w:b/>
          <w:i/>
          <w:sz w:val="18"/>
          <w:szCs w:val="18"/>
          <w:lang w:eastAsia="en-NZ"/>
        </w:rPr>
        <w:t>Drafting note: Amendment to section 18.1</w:t>
      </w:r>
      <w:r w:rsidR="00A057DF" w:rsidRPr="00A057DF">
        <w:rPr>
          <w:rFonts w:eastAsia="Times New Roman" w:cs="Arial"/>
          <w:b/>
          <w:i/>
          <w:sz w:val="18"/>
          <w:szCs w:val="18"/>
          <w:lang w:eastAsia="en-NZ"/>
        </w:rPr>
        <w:t xml:space="preserve"> is required to allow Shippers or </w:t>
      </w:r>
      <w:r w:rsidRPr="00A057DF">
        <w:rPr>
          <w:rFonts w:eastAsia="Times New Roman" w:cs="Arial"/>
          <w:b/>
          <w:i/>
          <w:sz w:val="18"/>
          <w:szCs w:val="18"/>
          <w:lang w:eastAsia="en-NZ"/>
        </w:rPr>
        <w:t>First Gas to complain directly to the GIC/Rulings Panel.</w:t>
      </w:r>
      <w:r w:rsidRPr="00A057DF">
        <w:rPr>
          <w:rFonts w:eastAsia="Times New Roman" w:cs="Arial"/>
          <w:b/>
          <w:sz w:val="18"/>
          <w:szCs w:val="18"/>
          <w:lang w:eastAsia="en-NZ"/>
        </w:rPr>
        <w:t>]</w:t>
      </w:r>
    </w:p>
    <w:p w14:paraId="00A096A9" w14:textId="6C35EDF0" w:rsidR="00F15D87" w:rsidRPr="00F15D87" w:rsidRDefault="009F2BE5" w:rsidP="009F2BE5">
      <w:pPr>
        <w:tabs>
          <w:tab w:val="num" w:pos="3828"/>
        </w:tabs>
        <w:spacing w:before="240" w:line="260" w:lineRule="atLeast"/>
        <w:jc w:val="left"/>
        <w:outlineLvl w:val="0"/>
        <w:rPr>
          <w:rFonts w:eastAsia="Times New Roman" w:cs="Arial"/>
          <w:i/>
          <w:kern w:val="28"/>
          <w:sz w:val="18"/>
          <w:szCs w:val="18"/>
          <w:lang w:eastAsia="en-NZ"/>
        </w:rPr>
      </w:pPr>
      <w:r>
        <w:rPr>
          <w:rFonts w:eastAsia="Times New Roman" w:cs="Arial"/>
          <w:b/>
          <w:kern w:val="28"/>
          <w:sz w:val="18"/>
          <w:szCs w:val="18"/>
          <w:lang w:eastAsia="en-NZ"/>
        </w:rPr>
        <w:t xml:space="preserve">3.  </w:t>
      </w:r>
      <w:r w:rsidR="00F15D87" w:rsidRPr="00F15D87">
        <w:rPr>
          <w:rFonts w:eastAsia="Times New Roman" w:cs="Arial"/>
          <w:b/>
          <w:kern w:val="28"/>
          <w:sz w:val="18"/>
          <w:szCs w:val="18"/>
          <w:lang w:eastAsia="en-NZ"/>
        </w:rPr>
        <w:t xml:space="preserve">Insert new definitions in Section 1: </w:t>
      </w:r>
      <w:r w:rsidR="00F15D87" w:rsidRPr="00F15D87">
        <w:rPr>
          <w:rFonts w:eastAsia="Times New Roman" w:cs="Arial"/>
          <w:b/>
          <w:i/>
          <w:kern w:val="28"/>
          <w:sz w:val="18"/>
          <w:szCs w:val="18"/>
          <w:lang w:eastAsia="en-NZ"/>
        </w:rPr>
        <w:t>Defined Terms</w:t>
      </w:r>
      <w:r w:rsidR="00F15D87" w:rsidRPr="00F15D87">
        <w:rPr>
          <w:rFonts w:eastAsia="Times New Roman" w:cs="Arial"/>
          <w:i/>
          <w:kern w:val="28"/>
          <w:sz w:val="18"/>
          <w:szCs w:val="18"/>
          <w:lang w:eastAsia="en-NZ"/>
        </w:rPr>
        <w:t xml:space="preserve"> </w:t>
      </w:r>
      <w:r w:rsidR="00FD5964" w:rsidRPr="00FD5964">
        <w:rPr>
          <w:rFonts w:eastAsia="Times New Roman" w:cs="Arial"/>
          <w:b/>
          <w:kern w:val="28"/>
          <w:sz w:val="18"/>
          <w:szCs w:val="18"/>
          <w:lang w:eastAsia="en-NZ"/>
        </w:rPr>
        <w:t>of GTAC</w:t>
      </w:r>
    </w:p>
    <w:p w14:paraId="2BC08C67" w14:textId="77777777" w:rsidR="00F15D87" w:rsidRPr="00F15D87" w:rsidRDefault="00F15D87" w:rsidP="00F15D87">
      <w:pPr>
        <w:spacing w:line="260" w:lineRule="atLeast"/>
        <w:jc w:val="left"/>
        <w:rPr>
          <w:rFonts w:eastAsia="Times New Roman" w:cs="Arial"/>
          <w:sz w:val="18"/>
          <w:szCs w:val="18"/>
          <w:lang w:eastAsia="en-NZ"/>
        </w:rPr>
      </w:pPr>
    </w:p>
    <w:p w14:paraId="14D713B1" w14:textId="319326DB" w:rsidR="00F15D87" w:rsidRPr="00A057DF" w:rsidRDefault="00F15D87" w:rsidP="00F15D87">
      <w:pPr>
        <w:spacing w:line="260" w:lineRule="atLeast"/>
        <w:ind w:left="851"/>
        <w:jc w:val="left"/>
        <w:rPr>
          <w:rFonts w:eastAsia="Times New Roman" w:cs="Arial"/>
          <w:sz w:val="18"/>
          <w:szCs w:val="18"/>
          <w:u w:val="single"/>
          <w:lang w:eastAsia="en-NZ"/>
        </w:rPr>
      </w:pPr>
      <w:r w:rsidRPr="00A057DF">
        <w:rPr>
          <w:rFonts w:eastAsia="Times New Roman" w:cs="Arial"/>
          <w:b/>
          <w:i/>
          <w:sz w:val="18"/>
          <w:szCs w:val="18"/>
          <w:u w:val="single"/>
          <w:lang w:eastAsia="en-NZ"/>
        </w:rPr>
        <w:t xml:space="preserve">Complaint </w:t>
      </w:r>
      <w:r w:rsidR="00A057DF" w:rsidRPr="00A057DF">
        <w:rPr>
          <w:rFonts w:eastAsia="Times New Roman" w:cs="Arial"/>
          <w:sz w:val="18"/>
          <w:szCs w:val="18"/>
          <w:u w:val="single"/>
          <w:lang w:eastAsia="en-NZ"/>
        </w:rPr>
        <w:t xml:space="preserve">means, in relation to section </w:t>
      </w:r>
      <w:r w:rsidRPr="00A057DF">
        <w:rPr>
          <w:rFonts w:eastAsia="Times New Roman" w:cs="Arial"/>
          <w:sz w:val="18"/>
          <w:szCs w:val="18"/>
          <w:u w:val="single"/>
          <w:lang w:eastAsia="en-NZ"/>
        </w:rPr>
        <w:t>19, a complaint brought by a Shipper or First Gas alleging:</w:t>
      </w:r>
    </w:p>
    <w:p w14:paraId="1A1B207B" w14:textId="69F60F4E" w:rsidR="00F15D87" w:rsidRDefault="00F15D87" w:rsidP="00A057DF">
      <w:pPr>
        <w:pStyle w:val="Heading5"/>
        <w:rPr>
          <w:rFonts w:ascii="Arial" w:hAnsi="Arial" w:cs="Arial"/>
          <w:sz w:val="18"/>
          <w:szCs w:val="18"/>
          <w:u w:val="single"/>
          <w:lang w:eastAsia="en-NZ"/>
        </w:rPr>
      </w:pPr>
      <w:r w:rsidRPr="00A057DF">
        <w:rPr>
          <w:rFonts w:ascii="Arial" w:hAnsi="Arial" w:cs="Arial"/>
          <w:sz w:val="18"/>
          <w:szCs w:val="18"/>
          <w:u w:val="single"/>
          <w:lang w:eastAsia="en-NZ"/>
        </w:rPr>
        <w:t xml:space="preserve">a breach of the TSA by a Shipper or First Gas; </w:t>
      </w:r>
    </w:p>
    <w:p w14:paraId="0A350B44" w14:textId="77777777" w:rsidR="00F35806" w:rsidRPr="00F35806" w:rsidRDefault="00F35806" w:rsidP="00F35806">
      <w:pPr>
        <w:pStyle w:val="Heading5"/>
        <w:rPr>
          <w:rFonts w:ascii="Arial" w:hAnsi="Arial" w:cs="Arial"/>
          <w:sz w:val="18"/>
          <w:szCs w:val="18"/>
          <w:u w:val="single"/>
          <w:lang w:eastAsia="en-NZ"/>
        </w:rPr>
      </w:pPr>
      <w:r w:rsidRPr="00F35806">
        <w:rPr>
          <w:rFonts w:ascii="Arial" w:hAnsi="Arial" w:cs="Arial"/>
          <w:sz w:val="18"/>
          <w:szCs w:val="18"/>
          <w:u w:val="single"/>
          <w:lang w:eastAsia="en-NZ"/>
        </w:rPr>
        <w:t xml:space="preserve">to the extent that an Interconnected Party is an OBA Party, and the provisions of the Code applicable to an OBA Party have been incorporated in the Interconnected Party's ICA, a breach by the Interconnected Party of those provisions under the Code;  </w:t>
      </w:r>
    </w:p>
    <w:p w14:paraId="1DB9C47C" w14:textId="2F657C13" w:rsidR="00F15D87" w:rsidRPr="00A057DF" w:rsidRDefault="00F15D87" w:rsidP="00A057DF">
      <w:pPr>
        <w:pStyle w:val="Heading5"/>
        <w:rPr>
          <w:rFonts w:ascii="Arial" w:hAnsi="Arial" w:cs="Arial"/>
          <w:sz w:val="18"/>
          <w:szCs w:val="18"/>
          <w:u w:val="single"/>
          <w:lang w:eastAsia="en-NZ"/>
        </w:rPr>
      </w:pPr>
      <w:r w:rsidRPr="00A057DF">
        <w:rPr>
          <w:rFonts w:ascii="Arial" w:hAnsi="Arial" w:cs="Arial"/>
          <w:sz w:val="18"/>
          <w:szCs w:val="18"/>
          <w:u w:val="single"/>
          <w:lang w:eastAsia="en-NZ"/>
        </w:rPr>
        <w:t>that the conduct of a Shipper or First Gas</w:t>
      </w:r>
      <w:r w:rsidRPr="00A057DF">
        <w:rPr>
          <w:rFonts w:ascii="Arial" w:hAnsi="Arial" w:cs="Arial"/>
          <w:b/>
          <w:sz w:val="18"/>
          <w:szCs w:val="18"/>
          <w:u w:val="single"/>
          <w:lang w:eastAsia="en-NZ"/>
        </w:rPr>
        <w:t xml:space="preserve"> </w:t>
      </w:r>
      <w:r w:rsidRPr="00A057DF">
        <w:rPr>
          <w:rFonts w:ascii="Arial" w:hAnsi="Arial" w:cs="Arial"/>
          <w:sz w:val="18"/>
          <w:szCs w:val="18"/>
          <w:u w:val="single"/>
          <w:lang w:eastAsia="en-NZ"/>
        </w:rPr>
        <w:t>threatens, or may threaten, confidence and integrity of gas markets, which may include (but is not limited to) allegations:</w:t>
      </w:r>
    </w:p>
    <w:p w14:paraId="7AB38C8E" w14:textId="77777777" w:rsidR="00F15D87" w:rsidRPr="00A057DF" w:rsidRDefault="00F15D87" w:rsidP="00F15D87">
      <w:pPr>
        <w:spacing w:before="240" w:line="260" w:lineRule="atLeast"/>
        <w:ind w:left="2552" w:hanging="851"/>
        <w:jc w:val="left"/>
        <w:outlineLvl w:val="4"/>
        <w:rPr>
          <w:rFonts w:eastAsia="Times New Roman" w:cs="Arial"/>
          <w:sz w:val="18"/>
          <w:szCs w:val="18"/>
          <w:u w:val="single"/>
          <w:lang w:eastAsia="en-NZ"/>
        </w:rPr>
      </w:pPr>
      <w:r w:rsidRPr="00A057DF">
        <w:rPr>
          <w:rFonts w:eastAsia="Times New Roman" w:cs="Arial"/>
          <w:sz w:val="18"/>
          <w:szCs w:val="18"/>
          <w:u w:val="single"/>
          <w:lang w:eastAsia="en-NZ"/>
        </w:rPr>
        <w:t xml:space="preserve">(i) </w:t>
      </w:r>
      <w:r w:rsidRPr="00A057DF">
        <w:rPr>
          <w:rFonts w:eastAsia="Times New Roman" w:cs="Arial"/>
          <w:sz w:val="18"/>
          <w:szCs w:val="18"/>
          <w:u w:val="single"/>
          <w:lang w:eastAsia="en-NZ"/>
        </w:rPr>
        <w:tab/>
        <w:t>that conduct will or is likely to undermine competition in gas markets;</w:t>
      </w:r>
    </w:p>
    <w:p w14:paraId="552416AD" w14:textId="77777777" w:rsidR="00F15D87" w:rsidRPr="00A057DF" w:rsidRDefault="00F15D87" w:rsidP="00F15D87">
      <w:pPr>
        <w:spacing w:before="240" w:line="260" w:lineRule="atLeast"/>
        <w:ind w:left="2552" w:hanging="851"/>
        <w:jc w:val="left"/>
        <w:outlineLvl w:val="4"/>
        <w:rPr>
          <w:rFonts w:eastAsia="Times New Roman" w:cs="Arial"/>
          <w:sz w:val="18"/>
          <w:szCs w:val="18"/>
          <w:u w:val="single"/>
          <w:lang w:eastAsia="en-NZ"/>
        </w:rPr>
      </w:pPr>
      <w:r w:rsidRPr="00A057DF">
        <w:rPr>
          <w:rFonts w:eastAsia="Times New Roman" w:cs="Arial"/>
          <w:sz w:val="18"/>
          <w:szCs w:val="18"/>
          <w:u w:val="single"/>
          <w:lang w:eastAsia="en-NZ"/>
        </w:rPr>
        <w:t xml:space="preserve">(ii) </w:t>
      </w:r>
      <w:r w:rsidRPr="00A057DF">
        <w:rPr>
          <w:rFonts w:eastAsia="Times New Roman" w:cs="Arial"/>
          <w:sz w:val="18"/>
          <w:szCs w:val="18"/>
          <w:u w:val="single"/>
          <w:lang w:eastAsia="en-NZ"/>
        </w:rPr>
        <w:tab/>
        <w:t>that conduct will or is likely to undermine the efficient operation of this Code; or</w:t>
      </w:r>
    </w:p>
    <w:p w14:paraId="6486C4AF" w14:textId="367B9DE3" w:rsidR="00F15D87" w:rsidRPr="00A057DF" w:rsidRDefault="00F15D87" w:rsidP="00F15D87">
      <w:pPr>
        <w:spacing w:before="240" w:line="260" w:lineRule="atLeast"/>
        <w:ind w:left="2552" w:hanging="851"/>
        <w:jc w:val="left"/>
        <w:outlineLvl w:val="4"/>
        <w:rPr>
          <w:rFonts w:eastAsia="Times New Roman" w:cs="Arial"/>
          <w:sz w:val="18"/>
          <w:szCs w:val="18"/>
          <w:u w:val="single"/>
          <w:lang w:eastAsia="en-NZ"/>
        </w:rPr>
      </w:pPr>
      <w:r w:rsidRPr="00A057DF">
        <w:rPr>
          <w:rFonts w:eastAsia="Times New Roman" w:cs="Arial"/>
          <w:sz w:val="18"/>
          <w:szCs w:val="18"/>
          <w:u w:val="single"/>
          <w:lang w:eastAsia="en-NZ"/>
        </w:rPr>
        <w:t>(iii)</w:t>
      </w:r>
      <w:r w:rsidRPr="00A057DF">
        <w:rPr>
          <w:rFonts w:eastAsia="Times New Roman" w:cs="Arial"/>
          <w:sz w:val="18"/>
          <w:szCs w:val="18"/>
          <w:u w:val="single"/>
          <w:lang w:eastAsia="en-NZ"/>
        </w:rPr>
        <w:tab/>
        <w:t xml:space="preserve">of manipulative, misleading or speculative trading activity or conduct under this Code, or activity or conduct that is otherwise inconsistent with a high </w:t>
      </w:r>
      <w:r w:rsidR="00A057DF" w:rsidRPr="00A057DF">
        <w:rPr>
          <w:rFonts w:eastAsia="Times New Roman" w:cs="Arial"/>
          <w:sz w:val="18"/>
          <w:szCs w:val="18"/>
          <w:u w:val="single"/>
          <w:lang w:eastAsia="en-NZ"/>
        </w:rPr>
        <w:t>standard of trading conduct.</w:t>
      </w:r>
    </w:p>
    <w:p w14:paraId="2134659D" w14:textId="77777777" w:rsidR="00F15D87" w:rsidRPr="00F15D87" w:rsidRDefault="00F15D87" w:rsidP="00F15D87">
      <w:pPr>
        <w:spacing w:line="260" w:lineRule="atLeast"/>
        <w:ind w:left="851"/>
        <w:jc w:val="left"/>
        <w:rPr>
          <w:rFonts w:eastAsia="Times New Roman" w:cs="Arial"/>
          <w:b/>
          <w:i/>
          <w:sz w:val="18"/>
          <w:szCs w:val="18"/>
          <w:lang w:eastAsia="en-NZ"/>
        </w:rPr>
      </w:pPr>
    </w:p>
    <w:p w14:paraId="722AEB0F" w14:textId="77777777" w:rsidR="00F15D87" w:rsidRPr="00A057DF" w:rsidRDefault="00F15D87" w:rsidP="00F15D87">
      <w:pPr>
        <w:spacing w:line="260" w:lineRule="atLeast"/>
        <w:ind w:left="851"/>
        <w:jc w:val="left"/>
        <w:rPr>
          <w:rFonts w:eastAsia="Times New Roman" w:cs="Arial"/>
          <w:sz w:val="18"/>
          <w:szCs w:val="18"/>
          <w:u w:val="single"/>
          <w:lang w:eastAsia="en-NZ"/>
        </w:rPr>
      </w:pPr>
      <w:r w:rsidRPr="00A057DF">
        <w:rPr>
          <w:rFonts w:eastAsia="Times New Roman" w:cs="Arial"/>
          <w:b/>
          <w:i/>
          <w:sz w:val="18"/>
          <w:szCs w:val="18"/>
          <w:u w:val="single"/>
          <w:lang w:eastAsia="en-NZ"/>
        </w:rPr>
        <w:t>Gas Governance Regulations</w:t>
      </w:r>
      <w:r w:rsidRPr="00A057DF">
        <w:rPr>
          <w:rFonts w:eastAsia="Times New Roman" w:cs="Arial"/>
          <w:sz w:val="18"/>
          <w:szCs w:val="18"/>
          <w:u w:val="single"/>
          <w:lang w:eastAsia="en-NZ"/>
        </w:rPr>
        <w:t xml:space="preserve"> means the Gas Governance (Compliance) Regulations 2008, as amended or replaced from time to time. </w:t>
      </w:r>
    </w:p>
    <w:p w14:paraId="73889309" w14:textId="77777777" w:rsidR="00F15D87" w:rsidRPr="00A057DF" w:rsidRDefault="00F15D87" w:rsidP="00F15D87">
      <w:pPr>
        <w:spacing w:before="240" w:line="260" w:lineRule="atLeast"/>
        <w:ind w:left="850"/>
        <w:jc w:val="left"/>
        <w:outlineLvl w:val="0"/>
        <w:rPr>
          <w:rFonts w:eastAsia="Times New Roman" w:cs="Arial"/>
          <w:kern w:val="28"/>
          <w:sz w:val="18"/>
          <w:szCs w:val="18"/>
          <w:u w:val="single"/>
          <w:lang w:eastAsia="en-NZ"/>
        </w:rPr>
      </w:pPr>
      <w:r w:rsidRPr="00A057DF">
        <w:rPr>
          <w:rFonts w:eastAsia="Times New Roman" w:cs="Arial"/>
          <w:b/>
          <w:i/>
          <w:kern w:val="28"/>
          <w:sz w:val="18"/>
          <w:szCs w:val="18"/>
          <w:u w:val="single"/>
          <w:lang w:eastAsia="en-NZ"/>
        </w:rPr>
        <w:t>Rulings Panel</w:t>
      </w:r>
      <w:r w:rsidRPr="00A057DF">
        <w:rPr>
          <w:rFonts w:eastAsia="Times New Roman" w:cs="Arial"/>
          <w:b/>
          <w:kern w:val="28"/>
          <w:sz w:val="18"/>
          <w:szCs w:val="18"/>
          <w:u w:val="single"/>
          <w:lang w:eastAsia="en-NZ"/>
        </w:rPr>
        <w:t xml:space="preserve"> </w:t>
      </w:r>
      <w:r w:rsidRPr="00A057DF">
        <w:rPr>
          <w:rFonts w:eastAsia="Times New Roman" w:cs="Arial"/>
          <w:kern w:val="28"/>
          <w:sz w:val="18"/>
          <w:szCs w:val="18"/>
          <w:u w:val="single"/>
          <w:lang w:eastAsia="en-NZ"/>
        </w:rPr>
        <w:t>means the panel established by regulation 59 of the Gas Governance Regulations.</w:t>
      </w:r>
    </w:p>
    <w:p w14:paraId="597DB262" w14:textId="77777777" w:rsidR="00F15D87" w:rsidRPr="00F15D87" w:rsidRDefault="00F15D87" w:rsidP="00F15D87">
      <w:pPr>
        <w:keepNext/>
        <w:spacing w:before="240" w:line="260" w:lineRule="atLeast"/>
        <w:ind w:left="850"/>
        <w:jc w:val="left"/>
        <w:rPr>
          <w:rFonts w:eastAsia="Times New Roman" w:cs="Arial"/>
          <w:i/>
          <w:u w:val="single"/>
          <w:lang w:eastAsia="en-NZ"/>
        </w:rPr>
      </w:pPr>
    </w:p>
    <w:p w14:paraId="46314C04" w14:textId="77777777" w:rsidR="00F15D87" w:rsidRPr="00F15D87" w:rsidRDefault="00F15D87" w:rsidP="00FD5964">
      <w:pPr>
        <w:keepNext/>
        <w:spacing w:before="240" w:line="260" w:lineRule="atLeast"/>
        <w:jc w:val="left"/>
        <w:rPr>
          <w:rFonts w:eastAsia="Times New Roman" w:cs="Arial"/>
          <w:u w:val="single"/>
          <w:lang w:eastAsia="en-NZ"/>
        </w:rPr>
      </w:pPr>
      <w:r w:rsidRPr="00F15D87">
        <w:rPr>
          <w:rFonts w:eastAsia="Times New Roman" w:cs="Arial"/>
          <w:i/>
          <w:u w:val="single"/>
          <w:lang w:eastAsia="en-NZ"/>
        </w:rPr>
        <w:t>Proposed amendments to the Gas Governance (Compliance) Regulations 2008 ("</w:t>
      </w:r>
      <w:r w:rsidRPr="00F15D87">
        <w:rPr>
          <w:rFonts w:eastAsia="Times New Roman" w:cs="Arial"/>
          <w:b/>
          <w:i/>
          <w:u w:val="single"/>
          <w:lang w:eastAsia="en-NZ"/>
        </w:rPr>
        <w:t>Regulations</w:t>
      </w:r>
      <w:r w:rsidRPr="00F15D87">
        <w:rPr>
          <w:rFonts w:eastAsia="Times New Roman" w:cs="Arial"/>
          <w:i/>
          <w:u w:val="single"/>
          <w:lang w:eastAsia="en-NZ"/>
        </w:rPr>
        <w:t>")</w:t>
      </w:r>
    </w:p>
    <w:p w14:paraId="6C3E1D4D" w14:textId="77777777" w:rsidR="00F15D87" w:rsidRPr="009F2BE5" w:rsidRDefault="00F15D87" w:rsidP="00361614">
      <w:pPr>
        <w:numPr>
          <w:ilvl w:val="0"/>
          <w:numId w:val="17"/>
        </w:numPr>
        <w:tabs>
          <w:tab w:val="clear" w:pos="992"/>
          <w:tab w:val="num" w:pos="360"/>
          <w:tab w:val="num" w:pos="850"/>
        </w:tabs>
        <w:spacing w:before="240" w:line="260" w:lineRule="atLeast"/>
        <w:ind w:left="850" w:hanging="850"/>
        <w:jc w:val="left"/>
        <w:outlineLvl w:val="0"/>
        <w:rPr>
          <w:rFonts w:eastAsia="Times New Roman" w:cs="Arial"/>
          <w:b/>
          <w:kern w:val="28"/>
          <w:sz w:val="18"/>
          <w:szCs w:val="18"/>
          <w:lang w:eastAsia="en-NZ"/>
        </w:rPr>
      </w:pPr>
      <w:r w:rsidRPr="009F2BE5">
        <w:rPr>
          <w:rFonts w:eastAsia="Times New Roman" w:cs="Arial"/>
          <w:b/>
          <w:kern w:val="28"/>
          <w:sz w:val="18"/>
          <w:szCs w:val="18"/>
          <w:lang w:eastAsia="en-NZ"/>
        </w:rPr>
        <w:t>Amendment to regulation 6 of the Regulations (</w:t>
      </w:r>
      <w:r w:rsidRPr="009F2BE5">
        <w:rPr>
          <w:rFonts w:eastAsia="Times New Roman" w:cs="Arial"/>
          <w:b/>
          <w:i/>
          <w:kern w:val="28"/>
          <w:sz w:val="18"/>
          <w:szCs w:val="18"/>
          <w:lang w:eastAsia="en-NZ"/>
        </w:rPr>
        <w:t>Breaches</w:t>
      </w:r>
      <w:r w:rsidRPr="009F2BE5">
        <w:rPr>
          <w:rFonts w:eastAsia="Times New Roman" w:cs="Arial"/>
          <w:b/>
          <w:kern w:val="28"/>
          <w:sz w:val="18"/>
          <w:szCs w:val="18"/>
          <w:lang w:eastAsia="en-NZ"/>
        </w:rPr>
        <w:t>):</w:t>
      </w:r>
    </w:p>
    <w:p w14:paraId="25F709BC" w14:textId="77777777" w:rsidR="00F15D87" w:rsidRPr="00F15D87" w:rsidRDefault="00F15D87" w:rsidP="00F15D87">
      <w:pPr>
        <w:ind w:left="1701" w:right="986"/>
        <w:jc w:val="left"/>
        <w:rPr>
          <w:rFonts w:eastAsia="Times New Roman" w:cs="Arial"/>
          <w:sz w:val="18"/>
          <w:lang w:eastAsia="en-NZ"/>
        </w:rPr>
      </w:pPr>
    </w:p>
    <w:p w14:paraId="113D4765" w14:textId="77777777" w:rsidR="00F15D87" w:rsidRPr="00F15D87" w:rsidRDefault="00F15D87" w:rsidP="00F15D87">
      <w:pPr>
        <w:ind w:left="1701" w:right="986"/>
        <w:jc w:val="left"/>
        <w:rPr>
          <w:rFonts w:eastAsia="Times New Roman" w:cs="Arial"/>
          <w:b/>
          <w:sz w:val="18"/>
          <w:lang w:eastAsia="en-NZ"/>
        </w:rPr>
      </w:pPr>
      <w:r w:rsidRPr="00F15D87">
        <w:rPr>
          <w:rFonts w:eastAsia="Times New Roman" w:cs="Arial"/>
          <w:b/>
          <w:sz w:val="18"/>
          <w:lang w:eastAsia="en-NZ"/>
        </w:rPr>
        <w:t>6 Breaches</w:t>
      </w:r>
    </w:p>
    <w:p w14:paraId="76E895DA" w14:textId="77777777" w:rsidR="00F15D87" w:rsidRPr="00F15D87" w:rsidRDefault="00F15D87" w:rsidP="00F15D87">
      <w:pPr>
        <w:ind w:left="1701" w:right="986"/>
        <w:jc w:val="left"/>
        <w:rPr>
          <w:rFonts w:eastAsia="Times New Roman" w:cs="Arial"/>
          <w:sz w:val="18"/>
          <w:lang w:eastAsia="en-NZ"/>
        </w:rPr>
      </w:pPr>
      <w:r w:rsidRPr="00F15D87">
        <w:rPr>
          <w:rFonts w:eastAsia="Times New Roman" w:cs="Arial"/>
          <w:sz w:val="18"/>
          <w:lang w:eastAsia="en-NZ"/>
        </w:rPr>
        <w:t>(1) In these regulations, unless the context otherwise requires, a reference to a participant that has breached a provision of the rules is a reference to a participant that—</w:t>
      </w:r>
    </w:p>
    <w:p w14:paraId="53C9B3D2" w14:textId="77777777" w:rsidR="00F15D87" w:rsidRPr="00F15D87" w:rsidRDefault="00F15D87" w:rsidP="00F15D87">
      <w:pPr>
        <w:ind w:left="2553" w:right="986"/>
        <w:jc w:val="left"/>
        <w:rPr>
          <w:rFonts w:eastAsia="Times New Roman" w:cs="Arial"/>
          <w:sz w:val="18"/>
          <w:lang w:eastAsia="en-NZ"/>
        </w:rPr>
      </w:pPr>
      <w:r w:rsidRPr="00F15D87">
        <w:rPr>
          <w:rFonts w:eastAsia="Times New Roman" w:cs="Arial"/>
          <w:sz w:val="18"/>
          <w:lang w:eastAsia="en-NZ"/>
        </w:rPr>
        <w:t>(a) has contravened the provision; or</w:t>
      </w:r>
    </w:p>
    <w:p w14:paraId="7C046138" w14:textId="77777777" w:rsidR="00F15D87" w:rsidRPr="00F15D87" w:rsidRDefault="00F15D87" w:rsidP="00F15D87">
      <w:pPr>
        <w:ind w:left="2553" w:right="986"/>
        <w:jc w:val="left"/>
        <w:rPr>
          <w:rFonts w:eastAsia="Times New Roman" w:cs="Arial"/>
          <w:sz w:val="18"/>
          <w:lang w:eastAsia="en-NZ"/>
        </w:rPr>
      </w:pPr>
      <w:r w:rsidRPr="00F15D87">
        <w:rPr>
          <w:rFonts w:eastAsia="Times New Roman" w:cs="Arial"/>
          <w:sz w:val="18"/>
          <w:lang w:eastAsia="en-NZ"/>
        </w:rPr>
        <w:t>(b) has attempted to contravene the provision; or</w:t>
      </w:r>
    </w:p>
    <w:p w14:paraId="4F128AB1" w14:textId="77777777" w:rsidR="00F15D87" w:rsidRPr="00F15D87" w:rsidRDefault="00F15D87" w:rsidP="00F15D87">
      <w:pPr>
        <w:ind w:left="2553" w:right="986"/>
        <w:jc w:val="left"/>
        <w:rPr>
          <w:rFonts w:eastAsia="Times New Roman" w:cs="Arial"/>
          <w:sz w:val="18"/>
          <w:lang w:eastAsia="en-NZ"/>
        </w:rPr>
      </w:pPr>
      <w:r w:rsidRPr="00F15D87">
        <w:rPr>
          <w:rFonts w:eastAsia="Times New Roman" w:cs="Arial"/>
          <w:sz w:val="18"/>
          <w:lang w:eastAsia="en-NZ"/>
        </w:rPr>
        <w:t>(c) has aided, abetted, counselled, or procured any other participant to contravene the provision; or</w:t>
      </w:r>
    </w:p>
    <w:p w14:paraId="155F9121" w14:textId="77777777" w:rsidR="00F15D87" w:rsidRPr="00F15D87" w:rsidRDefault="00F15D87" w:rsidP="00F15D87">
      <w:pPr>
        <w:ind w:left="2553" w:right="986"/>
        <w:jc w:val="left"/>
        <w:rPr>
          <w:rFonts w:eastAsia="Times New Roman" w:cs="Arial"/>
          <w:sz w:val="18"/>
          <w:lang w:eastAsia="en-NZ"/>
        </w:rPr>
      </w:pPr>
      <w:r w:rsidRPr="00F15D87">
        <w:rPr>
          <w:rFonts w:eastAsia="Times New Roman" w:cs="Arial"/>
          <w:sz w:val="18"/>
          <w:lang w:eastAsia="en-NZ"/>
        </w:rPr>
        <w:t>(d) has induced, or attempted to induce, any other participant, whether by threats or promises or otherwise, to contravene the provision; or</w:t>
      </w:r>
    </w:p>
    <w:p w14:paraId="0E4F56E3" w14:textId="77777777" w:rsidR="00F15D87" w:rsidRPr="00F15D87" w:rsidRDefault="00F15D87" w:rsidP="00F15D87">
      <w:pPr>
        <w:ind w:left="2553" w:right="986"/>
        <w:jc w:val="left"/>
        <w:rPr>
          <w:rFonts w:eastAsia="Times New Roman" w:cs="Arial"/>
          <w:sz w:val="18"/>
          <w:lang w:eastAsia="en-NZ"/>
        </w:rPr>
      </w:pPr>
      <w:r w:rsidRPr="00F15D87">
        <w:rPr>
          <w:rFonts w:eastAsia="Times New Roman" w:cs="Arial"/>
          <w:sz w:val="18"/>
          <w:lang w:eastAsia="en-NZ"/>
        </w:rPr>
        <w:t>(e) has been in any way, directly or indirectly, knowingly concerned in, or party to, the contravention by any other participant of the provision; or</w:t>
      </w:r>
    </w:p>
    <w:p w14:paraId="14C50946" w14:textId="77777777" w:rsidR="00F15D87" w:rsidRPr="00F15D87" w:rsidRDefault="00F15D87" w:rsidP="00F15D87">
      <w:pPr>
        <w:ind w:left="2553" w:right="986"/>
        <w:jc w:val="left"/>
        <w:rPr>
          <w:rFonts w:eastAsia="Times New Roman" w:cs="Arial"/>
          <w:sz w:val="18"/>
          <w:lang w:eastAsia="en-NZ"/>
        </w:rPr>
      </w:pPr>
      <w:r w:rsidRPr="00F15D87">
        <w:rPr>
          <w:rFonts w:eastAsia="Times New Roman" w:cs="Arial"/>
          <w:sz w:val="18"/>
          <w:lang w:eastAsia="en-NZ"/>
        </w:rPr>
        <w:t>(f) has conspired with any other participant to contravene the provision.</w:t>
      </w:r>
    </w:p>
    <w:p w14:paraId="66018EDB" w14:textId="77777777" w:rsidR="00F15D87" w:rsidRPr="00F15D87" w:rsidRDefault="00F15D87" w:rsidP="00F15D87">
      <w:pPr>
        <w:ind w:left="2553" w:right="986"/>
        <w:jc w:val="left"/>
        <w:rPr>
          <w:rFonts w:eastAsia="Times New Roman" w:cs="Arial"/>
          <w:sz w:val="18"/>
          <w:lang w:eastAsia="en-NZ"/>
        </w:rPr>
      </w:pPr>
    </w:p>
    <w:p w14:paraId="64D24BE3" w14:textId="77777777" w:rsidR="00F15D87" w:rsidRPr="00F15D87" w:rsidRDefault="00F15D87" w:rsidP="00F15D87">
      <w:pPr>
        <w:ind w:left="1701" w:right="986"/>
        <w:jc w:val="left"/>
        <w:rPr>
          <w:rFonts w:eastAsia="Times New Roman" w:cs="Arial"/>
          <w:i/>
          <w:sz w:val="18"/>
          <w:u w:val="single"/>
          <w:lang w:eastAsia="en-NZ"/>
        </w:rPr>
      </w:pPr>
      <w:r w:rsidRPr="00F15D87">
        <w:rPr>
          <w:rFonts w:eastAsia="Times New Roman" w:cs="Arial"/>
          <w:i/>
          <w:sz w:val="18"/>
          <w:u w:val="single"/>
          <w:lang w:eastAsia="en-NZ"/>
        </w:rPr>
        <w:t>(1A)  In these regulations, unless the context otherwise requires, a reference to a participant that has breached a provision of the rules is a reference to a participant that has engaged in activity or conduct of a kind that is expressly identified in the Gas Transmission Access Code as being subject to a complaint in accordance with these regulations..</w:t>
      </w:r>
    </w:p>
    <w:p w14:paraId="72B6259E" w14:textId="77777777" w:rsidR="00F15D87" w:rsidRPr="00F15D87" w:rsidRDefault="00F15D87" w:rsidP="00F15D87">
      <w:pPr>
        <w:ind w:left="1701" w:right="986"/>
        <w:jc w:val="left"/>
        <w:rPr>
          <w:rFonts w:eastAsia="Times New Roman" w:cs="Arial"/>
          <w:b/>
          <w:i/>
          <w:sz w:val="18"/>
          <w:lang w:eastAsia="en-NZ"/>
        </w:rPr>
      </w:pPr>
    </w:p>
    <w:p w14:paraId="50CE1CA7" w14:textId="77777777" w:rsidR="00F15D87" w:rsidRPr="00F15D87" w:rsidRDefault="00F15D87" w:rsidP="00F15D87">
      <w:pPr>
        <w:ind w:left="1701" w:right="986"/>
        <w:jc w:val="left"/>
        <w:rPr>
          <w:rFonts w:eastAsia="Times New Roman" w:cs="Arial"/>
          <w:sz w:val="18"/>
          <w:lang w:eastAsia="en-NZ"/>
        </w:rPr>
      </w:pPr>
      <w:r w:rsidRPr="00F15D87">
        <w:rPr>
          <w:rFonts w:eastAsia="Times New Roman" w:cs="Arial"/>
          <w:sz w:val="18"/>
          <w:lang w:eastAsia="en-NZ"/>
        </w:rPr>
        <w:t>(2) In these regulations, unless the context otherwise requires, a reference to a breach (including an alleged breach) of the rules refers only to a breach—</w:t>
      </w:r>
    </w:p>
    <w:p w14:paraId="0E2E0F0F" w14:textId="77777777" w:rsidR="00F15D87" w:rsidRPr="00F15D87" w:rsidRDefault="00F15D87" w:rsidP="00F15D87">
      <w:pPr>
        <w:ind w:left="2553" w:right="986"/>
        <w:jc w:val="left"/>
        <w:rPr>
          <w:rFonts w:eastAsia="Times New Roman" w:cs="Arial"/>
          <w:sz w:val="18"/>
          <w:lang w:eastAsia="en-NZ"/>
        </w:rPr>
      </w:pPr>
      <w:r w:rsidRPr="00F15D87">
        <w:rPr>
          <w:rFonts w:eastAsia="Times New Roman" w:cs="Arial"/>
          <w:sz w:val="18"/>
          <w:lang w:eastAsia="en-NZ"/>
        </w:rPr>
        <w:t>(a) that was discovered, or ought reasonably to have been discovered, within 3 years of the date of the breach; and</w:t>
      </w:r>
    </w:p>
    <w:p w14:paraId="18046481" w14:textId="77777777" w:rsidR="00F15D87" w:rsidRPr="00F15D87" w:rsidRDefault="00F15D87" w:rsidP="00F15D87">
      <w:pPr>
        <w:ind w:left="2553" w:right="986"/>
        <w:jc w:val="left"/>
        <w:rPr>
          <w:rFonts w:eastAsia="Times New Roman" w:cs="Arial"/>
          <w:sz w:val="18"/>
          <w:lang w:eastAsia="en-NZ"/>
        </w:rPr>
      </w:pPr>
      <w:r w:rsidRPr="00F15D87">
        <w:rPr>
          <w:rFonts w:eastAsia="Times New Roman" w:cs="Arial"/>
          <w:sz w:val="18"/>
          <w:lang w:eastAsia="en-NZ"/>
        </w:rPr>
        <w:t>(b) that occurred within 10 years of the date of any investigation or other proceedings under these regulations in relation to the breach.</w:t>
      </w:r>
    </w:p>
    <w:p w14:paraId="7B906939" w14:textId="77777777" w:rsidR="00F15D87" w:rsidRPr="009F2BE5" w:rsidRDefault="00F15D87" w:rsidP="00361614">
      <w:pPr>
        <w:numPr>
          <w:ilvl w:val="0"/>
          <w:numId w:val="17"/>
        </w:numPr>
        <w:tabs>
          <w:tab w:val="clear" w:pos="992"/>
          <w:tab w:val="num" w:pos="360"/>
          <w:tab w:val="num" w:pos="850"/>
        </w:tabs>
        <w:spacing w:before="240" w:line="260" w:lineRule="atLeast"/>
        <w:ind w:left="850" w:hanging="850"/>
        <w:jc w:val="left"/>
        <w:outlineLvl w:val="0"/>
        <w:rPr>
          <w:rFonts w:eastAsia="Times New Roman" w:cs="Arial"/>
          <w:kern w:val="28"/>
          <w:sz w:val="18"/>
          <w:szCs w:val="18"/>
          <w:lang w:eastAsia="en-NZ"/>
        </w:rPr>
      </w:pPr>
      <w:r w:rsidRPr="009F2BE5">
        <w:rPr>
          <w:rFonts w:eastAsia="Times New Roman" w:cs="Arial"/>
          <w:b/>
          <w:kern w:val="28"/>
          <w:sz w:val="18"/>
          <w:szCs w:val="18"/>
          <w:lang w:eastAsia="en-NZ"/>
        </w:rPr>
        <w:t>Amendment to regulation 50</w:t>
      </w:r>
    </w:p>
    <w:p w14:paraId="6E21B108" w14:textId="77777777" w:rsidR="00F15D87" w:rsidRPr="00F15D87" w:rsidRDefault="00F15D87" w:rsidP="00F15D87">
      <w:pPr>
        <w:spacing w:line="260" w:lineRule="atLeast"/>
        <w:ind w:left="1701" w:right="986"/>
        <w:jc w:val="left"/>
        <w:rPr>
          <w:rFonts w:eastAsia="Times New Roman" w:cs="Arial"/>
          <w:sz w:val="18"/>
          <w:lang w:eastAsia="en-NZ"/>
        </w:rPr>
      </w:pPr>
    </w:p>
    <w:p w14:paraId="1D916D87" w14:textId="77777777" w:rsidR="00F15D87" w:rsidRPr="00F15D87" w:rsidRDefault="00F15D87" w:rsidP="00F15D87">
      <w:pPr>
        <w:spacing w:line="260" w:lineRule="atLeast"/>
        <w:ind w:left="1701" w:right="986"/>
        <w:jc w:val="left"/>
        <w:rPr>
          <w:rFonts w:eastAsia="Times New Roman" w:cs="Arial"/>
          <w:b/>
          <w:sz w:val="18"/>
          <w:lang w:eastAsia="en-NZ"/>
        </w:rPr>
      </w:pPr>
      <w:r w:rsidRPr="00F15D87">
        <w:rPr>
          <w:rFonts w:eastAsia="Times New Roman" w:cs="Arial"/>
          <w:b/>
          <w:sz w:val="18"/>
          <w:lang w:eastAsia="en-NZ"/>
        </w:rPr>
        <w:t>50 Rulings Panel may make certain orders</w:t>
      </w:r>
    </w:p>
    <w:p w14:paraId="6F23A3FD" w14:textId="77777777" w:rsidR="00F15D87" w:rsidRPr="00F15D87" w:rsidRDefault="00F15D87" w:rsidP="00F15D87">
      <w:pPr>
        <w:spacing w:line="260" w:lineRule="atLeast"/>
        <w:ind w:left="1701" w:right="986"/>
        <w:jc w:val="left"/>
        <w:rPr>
          <w:rFonts w:eastAsia="Times New Roman" w:cs="Arial"/>
          <w:b/>
          <w:sz w:val="18"/>
          <w:lang w:eastAsia="en-NZ"/>
        </w:rPr>
      </w:pPr>
    </w:p>
    <w:p w14:paraId="455719D8" w14:textId="77777777" w:rsidR="00F15D87" w:rsidRPr="00F15D87" w:rsidRDefault="00F15D87" w:rsidP="00F15D87">
      <w:pPr>
        <w:spacing w:line="260" w:lineRule="atLeast"/>
        <w:ind w:left="1701" w:right="986"/>
        <w:jc w:val="left"/>
        <w:rPr>
          <w:rFonts w:eastAsia="Times New Roman" w:cs="Arial"/>
          <w:sz w:val="18"/>
          <w:lang w:eastAsia="en-NZ"/>
        </w:rPr>
      </w:pPr>
      <w:r w:rsidRPr="00F15D87">
        <w:rPr>
          <w:rFonts w:eastAsia="Times New Roman" w:cs="Arial"/>
          <w:sz w:val="18"/>
          <w:lang w:eastAsia="en-NZ"/>
        </w:rPr>
        <w:t>(1) Section 43X(1) of the Act provides for requirements and orders that can be made by the Rulings Panel.</w:t>
      </w:r>
    </w:p>
    <w:p w14:paraId="398753E7" w14:textId="77777777" w:rsidR="00F15D87" w:rsidRPr="00F15D87" w:rsidRDefault="00F15D87" w:rsidP="00F15D87">
      <w:pPr>
        <w:spacing w:line="260" w:lineRule="atLeast"/>
        <w:ind w:left="1701" w:right="986"/>
        <w:jc w:val="left"/>
        <w:rPr>
          <w:rFonts w:eastAsia="Times New Roman" w:cs="Arial"/>
          <w:sz w:val="18"/>
          <w:lang w:eastAsia="en-NZ"/>
        </w:rPr>
      </w:pPr>
    </w:p>
    <w:p w14:paraId="17AA95FE" w14:textId="77777777" w:rsidR="00F15D87" w:rsidRPr="00B63F65" w:rsidRDefault="00F15D87" w:rsidP="00F15D87">
      <w:pPr>
        <w:spacing w:line="260" w:lineRule="atLeast"/>
        <w:ind w:left="1701" w:right="986"/>
        <w:jc w:val="left"/>
        <w:rPr>
          <w:rFonts w:eastAsia="Times New Roman" w:cs="Arial"/>
          <w:i/>
          <w:sz w:val="18"/>
          <w:u w:val="single"/>
          <w:lang w:eastAsia="en-NZ"/>
        </w:rPr>
      </w:pPr>
      <w:r w:rsidRPr="00B63F65">
        <w:rPr>
          <w:rFonts w:eastAsia="Times New Roman" w:cs="Arial"/>
          <w:i/>
          <w:sz w:val="18"/>
          <w:u w:val="single"/>
          <w:lang w:eastAsia="en-NZ"/>
        </w:rPr>
        <w:t>(1A) If the Rulings Panel is determining an alleged breach of the rules of the kind referred to under regulation 6(1A), the Rulings Panel can make any of the orders provided for in section 43X of the Act, and regulations 51, 52, and 55 apply to such orders.</w:t>
      </w:r>
    </w:p>
    <w:p w14:paraId="0648F949" w14:textId="77777777" w:rsidR="00F15D87" w:rsidRPr="00F15D87" w:rsidRDefault="00F15D87" w:rsidP="00F15D87">
      <w:pPr>
        <w:spacing w:line="260" w:lineRule="atLeast"/>
        <w:ind w:left="1701" w:right="986"/>
        <w:jc w:val="left"/>
        <w:rPr>
          <w:rFonts w:eastAsia="Times New Roman" w:cs="Arial"/>
          <w:sz w:val="18"/>
          <w:lang w:eastAsia="en-NZ"/>
        </w:rPr>
      </w:pPr>
    </w:p>
    <w:p w14:paraId="389007FD" w14:textId="77777777" w:rsidR="00F15D87" w:rsidRPr="00F15D87" w:rsidRDefault="00F15D87" w:rsidP="00F15D87">
      <w:pPr>
        <w:spacing w:line="260" w:lineRule="atLeast"/>
        <w:ind w:left="1701" w:right="986"/>
        <w:jc w:val="left"/>
        <w:rPr>
          <w:rFonts w:eastAsia="Times New Roman" w:cs="Arial"/>
          <w:sz w:val="18"/>
          <w:lang w:eastAsia="en-NZ"/>
        </w:rPr>
      </w:pPr>
      <w:r w:rsidRPr="00F15D87">
        <w:rPr>
          <w:rFonts w:eastAsia="Times New Roman" w:cs="Arial"/>
          <w:sz w:val="18"/>
          <w:lang w:eastAsia="en-NZ"/>
        </w:rPr>
        <w:t xml:space="preserve">(2) If the Rulings Panel is determining an alleged breach of regulation 55(1) or 57 of the Gas Governance (Critical Contingency Management) </w:t>
      </w:r>
      <w:r w:rsidRPr="00F15D87">
        <w:rPr>
          <w:rFonts w:eastAsia="Times New Roman" w:cs="Arial"/>
          <w:sz w:val="18"/>
          <w:lang w:eastAsia="en-NZ"/>
        </w:rPr>
        <w:lastRenderedPageBreak/>
        <w:t>Regulations 2008 by a participant that is a consumer, the Rulings Panel may decide to take no action if the Rulings Panel is satisfied that—</w:t>
      </w:r>
    </w:p>
    <w:p w14:paraId="088F3DAB" w14:textId="77777777" w:rsidR="00F15D87" w:rsidRPr="00F15D87" w:rsidRDefault="00F15D87" w:rsidP="00F15D87">
      <w:pPr>
        <w:spacing w:line="260" w:lineRule="atLeast"/>
        <w:ind w:left="1701" w:right="986"/>
        <w:jc w:val="left"/>
        <w:rPr>
          <w:rFonts w:eastAsia="Times New Roman" w:cs="Arial"/>
          <w:sz w:val="18"/>
          <w:lang w:eastAsia="en-NZ"/>
        </w:rPr>
      </w:pPr>
      <w:r w:rsidRPr="00F15D87">
        <w:rPr>
          <w:rFonts w:eastAsia="Times New Roman" w:cs="Arial"/>
          <w:sz w:val="18"/>
          <w:lang w:eastAsia="en-NZ"/>
        </w:rPr>
        <w:t>(a) the alleged breach was necessary to prevent or lessen a serious and imminent threat to the health and safety of any person; and</w:t>
      </w:r>
    </w:p>
    <w:p w14:paraId="7A3D8AE8" w14:textId="77777777" w:rsidR="00F15D87" w:rsidRPr="00F15D87" w:rsidRDefault="00F15D87" w:rsidP="00F15D87">
      <w:pPr>
        <w:spacing w:line="260" w:lineRule="atLeast"/>
        <w:ind w:left="1701" w:right="986"/>
        <w:jc w:val="left"/>
        <w:rPr>
          <w:rFonts w:eastAsia="Times New Roman" w:cs="Arial"/>
          <w:sz w:val="18"/>
          <w:lang w:eastAsia="en-NZ"/>
        </w:rPr>
      </w:pPr>
      <w:r w:rsidRPr="00F15D87">
        <w:rPr>
          <w:rFonts w:eastAsia="Times New Roman" w:cs="Arial"/>
          <w:sz w:val="18"/>
          <w:lang w:eastAsia="en-NZ"/>
        </w:rPr>
        <w:t>(b) the threat could not reasonably have been foreseen and mitigated by the participant so that the conduct that constituted the alleged breach could have been avoided.</w:t>
      </w:r>
    </w:p>
    <w:p w14:paraId="2606D28E" w14:textId="77777777" w:rsidR="00F15D87" w:rsidRPr="00F15D87" w:rsidRDefault="00F15D87" w:rsidP="00F15D87">
      <w:pPr>
        <w:spacing w:line="260" w:lineRule="atLeast"/>
        <w:ind w:left="1701" w:right="986"/>
        <w:jc w:val="left"/>
        <w:rPr>
          <w:rFonts w:eastAsia="Times New Roman" w:cs="Arial"/>
          <w:sz w:val="18"/>
          <w:lang w:eastAsia="en-NZ"/>
        </w:rPr>
      </w:pPr>
      <w:r w:rsidRPr="00F15D87">
        <w:rPr>
          <w:rFonts w:eastAsia="Times New Roman" w:cs="Arial"/>
          <w:sz w:val="18"/>
          <w:lang w:eastAsia="en-NZ"/>
        </w:rPr>
        <w:t>(3) Subclause (2) does not limit the general discretion of the Rulings Panel under section 43X(1) of the Act to decide whether to take action, or what action to take, in respect of any alleged breach.</w:t>
      </w:r>
    </w:p>
    <w:p w14:paraId="6EC85731" w14:textId="77777777" w:rsidR="00F15D87" w:rsidRPr="009F2BE5" w:rsidRDefault="00F15D87" w:rsidP="00361614">
      <w:pPr>
        <w:numPr>
          <w:ilvl w:val="0"/>
          <w:numId w:val="17"/>
        </w:numPr>
        <w:tabs>
          <w:tab w:val="clear" w:pos="992"/>
          <w:tab w:val="num" w:pos="360"/>
          <w:tab w:val="num" w:pos="850"/>
        </w:tabs>
        <w:spacing w:before="240" w:line="260" w:lineRule="atLeast"/>
        <w:ind w:left="850" w:hanging="850"/>
        <w:jc w:val="left"/>
        <w:outlineLvl w:val="0"/>
        <w:rPr>
          <w:rFonts w:eastAsia="Times New Roman" w:cs="Arial"/>
          <w:kern w:val="28"/>
          <w:sz w:val="18"/>
          <w:szCs w:val="18"/>
          <w:lang w:eastAsia="en-NZ"/>
        </w:rPr>
      </w:pPr>
      <w:r w:rsidRPr="009F2BE5">
        <w:rPr>
          <w:rFonts w:eastAsia="Times New Roman" w:cs="Arial"/>
          <w:b/>
          <w:kern w:val="28"/>
          <w:sz w:val="18"/>
          <w:szCs w:val="18"/>
          <w:lang w:eastAsia="en-NZ"/>
        </w:rPr>
        <w:t>Amendment to regulation 11 (</w:t>
      </w:r>
      <w:r w:rsidRPr="009F2BE5">
        <w:rPr>
          <w:rFonts w:eastAsia="Times New Roman" w:cs="Arial"/>
          <w:b/>
          <w:i/>
          <w:kern w:val="28"/>
          <w:sz w:val="18"/>
          <w:szCs w:val="18"/>
          <w:lang w:eastAsia="en-NZ"/>
        </w:rPr>
        <w:t>mandatory reporting to the market administrator</w:t>
      </w:r>
      <w:r w:rsidRPr="009F2BE5">
        <w:rPr>
          <w:rFonts w:eastAsia="Times New Roman" w:cs="Arial"/>
          <w:b/>
          <w:kern w:val="28"/>
          <w:sz w:val="18"/>
          <w:szCs w:val="18"/>
          <w:lang w:eastAsia="en-NZ"/>
        </w:rPr>
        <w:t>):</w:t>
      </w:r>
    </w:p>
    <w:p w14:paraId="16C5E931" w14:textId="77777777" w:rsidR="00F15D87" w:rsidRPr="00F15D87" w:rsidRDefault="00F15D87" w:rsidP="00F15D87">
      <w:pPr>
        <w:spacing w:line="260" w:lineRule="atLeast"/>
        <w:ind w:left="1701" w:right="986"/>
        <w:jc w:val="left"/>
        <w:rPr>
          <w:rFonts w:eastAsia="Times New Roman" w:cs="Arial"/>
          <w:sz w:val="18"/>
          <w:lang w:eastAsia="en-NZ"/>
        </w:rPr>
      </w:pPr>
    </w:p>
    <w:p w14:paraId="418FAFFA" w14:textId="77777777" w:rsidR="00F15D87" w:rsidRPr="00F15D87" w:rsidRDefault="00F15D87" w:rsidP="00F15D87">
      <w:pPr>
        <w:spacing w:line="260" w:lineRule="atLeast"/>
        <w:ind w:left="1701" w:right="986"/>
        <w:jc w:val="left"/>
        <w:rPr>
          <w:rFonts w:eastAsia="Times New Roman" w:cs="Arial"/>
          <w:b/>
          <w:sz w:val="18"/>
          <w:lang w:eastAsia="en-NZ"/>
        </w:rPr>
      </w:pPr>
      <w:r w:rsidRPr="00F15D87">
        <w:rPr>
          <w:rFonts w:eastAsia="Times New Roman" w:cs="Arial"/>
          <w:b/>
          <w:sz w:val="18"/>
          <w:lang w:eastAsia="en-NZ"/>
        </w:rPr>
        <w:t>11A Exception to regulation 11 for certain rule breaches</w:t>
      </w:r>
    </w:p>
    <w:p w14:paraId="405EE5FB" w14:textId="77777777" w:rsidR="00F15D87" w:rsidRPr="00F15D87" w:rsidRDefault="00F15D87" w:rsidP="00F15D87">
      <w:pPr>
        <w:spacing w:line="260" w:lineRule="atLeast"/>
        <w:ind w:left="1701" w:right="986"/>
        <w:jc w:val="left"/>
        <w:rPr>
          <w:rFonts w:eastAsia="Times New Roman" w:cs="Arial"/>
          <w:sz w:val="18"/>
          <w:lang w:eastAsia="en-NZ"/>
        </w:rPr>
      </w:pPr>
      <w:r w:rsidRPr="00F15D87">
        <w:rPr>
          <w:rFonts w:eastAsia="Times New Roman" w:cs="Arial"/>
          <w:sz w:val="18"/>
          <w:lang w:eastAsia="en-NZ"/>
        </w:rPr>
        <w:t>(1) Regulation 11(1) does not apply to the extent that—</w:t>
      </w:r>
    </w:p>
    <w:p w14:paraId="13A9B80F" w14:textId="77777777" w:rsidR="00F15D87" w:rsidRPr="00F15D87" w:rsidRDefault="00F15D87" w:rsidP="00F15D87">
      <w:pPr>
        <w:spacing w:line="260" w:lineRule="atLeast"/>
        <w:ind w:left="2553" w:right="986"/>
        <w:jc w:val="left"/>
        <w:rPr>
          <w:rFonts w:eastAsia="Times New Roman" w:cs="Arial"/>
          <w:sz w:val="18"/>
          <w:lang w:eastAsia="en-NZ"/>
        </w:rPr>
      </w:pPr>
      <w:r w:rsidRPr="00F15D87">
        <w:rPr>
          <w:rFonts w:eastAsia="Times New Roman" w:cs="Arial"/>
          <w:sz w:val="18"/>
          <w:lang w:eastAsia="en-NZ"/>
        </w:rPr>
        <w:t>(a) the rules that a reporting participant believes to have been breached are 1 or more of the following:</w:t>
      </w:r>
    </w:p>
    <w:p w14:paraId="7106E42C" w14:textId="77777777" w:rsidR="00F15D87" w:rsidRPr="00F15D87" w:rsidRDefault="00F15D87" w:rsidP="00F15D87">
      <w:pPr>
        <w:spacing w:line="260" w:lineRule="atLeast"/>
        <w:ind w:left="3404" w:right="986"/>
        <w:jc w:val="left"/>
        <w:rPr>
          <w:rFonts w:eastAsia="Times New Roman" w:cs="Arial"/>
          <w:sz w:val="18"/>
          <w:lang w:eastAsia="en-NZ"/>
        </w:rPr>
      </w:pPr>
      <w:r w:rsidRPr="00F15D87">
        <w:rPr>
          <w:rFonts w:eastAsia="Times New Roman" w:cs="Arial"/>
          <w:sz w:val="18"/>
          <w:lang w:eastAsia="en-NZ"/>
        </w:rPr>
        <w:t xml:space="preserve">(i) rule 37 of the Gas (Downstream Reconciliation) Rules 2008: </w:t>
      </w:r>
    </w:p>
    <w:p w14:paraId="306C6C30" w14:textId="77777777" w:rsidR="00F15D87" w:rsidRPr="00F15D87" w:rsidRDefault="00F15D87" w:rsidP="00F15D87">
      <w:pPr>
        <w:spacing w:line="260" w:lineRule="atLeast"/>
        <w:ind w:left="3404" w:right="986"/>
        <w:jc w:val="left"/>
        <w:rPr>
          <w:rFonts w:eastAsia="Times New Roman" w:cs="Arial"/>
          <w:sz w:val="18"/>
          <w:lang w:eastAsia="en-NZ"/>
        </w:rPr>
      </w:pPr>
      <w:r w:rsidRPr="00F15D87">
        <w:rPr>
          <w:rFonts w:eastAsia="Times New Roman" w:cs="Arial"/>
          <w:sz w:val="18"/>
          <w:lang w:eastAsia="en-NZ"/>
        </w:rPr>
        <w:t>(ii) rules 67.3, 69.1, 69.2, 70.2, and 72.2 of the Gas (Switching Arrangements) Rules 2008; and</w:t>
      </w:r>
    </w:p>
    <w:p w14:paraId="4A7F3F2F" w14:textId="77777777" w:rsidR="00F15D87" w:rsidRPr="00F15D87" w:rsidRDefault="00F15D87" w:rsidP="00F15D87">
      <w:pPr>
        <w:spacing w:line="260" w:lineRule="atLeast"/>
        <w:ind w:left="2553" w:right="986"/>
        <w:jc w:val="left"/>
        <w:rPr>
          <w:rFonts w:eastAsia="Times New Roman" w:cs="Arial"/>
          <w:sz w:val="18"/>
          <w:lang w:eastAsia="en-NZ"/>
        </w:rPr>
      </w:pPr>
      <w:r w:rsidRPr="00F15D87">
        <w:rPr>
          <w:rFonts w:eastAsia="Times New Roman" w:cs="Arial"/>
          <w:sz w:val="18"/>
          <w:lang w:eastAsia="en-NZ"/>
        </w:rPr>
        <w:t>(b) the reporting participant is satisfied that, if it were to notify the market administrator of the alleged breach of any rule specified in paragraph (a), there is no likelihood that the market administrator would determine under regulation 18 that the alleged breach raises a material issue on the basis of information known to the reporting participant.</w:t>
      </w:r>
    </w:p>
    <w:p w14:paraId="0EA7CE6F" w14:textId="77777777" w:rsidR="00F15D87" w:rsidRPr="00F15D87" w:rsidRDefault="00F15D87" w:rsidP="00F15D87">
      <w:pPr>
        <w:spacing w:line="260" w:lineRule="atLeast"/>
        <w:ind w:left="2553" w:right="986"/>
        <w:jc w:val="left"/>
        <w:rPr>
          <w:rFonts w:eastAsia="Times New Roman" w:cs="Arial"/>
          <w:sz w:val="18"/>
          <w:lang w:eastAsia="en-NZ"/>
        </w:rPr>
      </w:pPr>
    </w:p>
    <w:p w14:paraId="56A7426D" w14:textId="77777777" w:rsidR="00F15D87" w:rsidRPr="00F15D87" w:rsidRDefault="00F15D87" w:rsidP="00F15D87">
      <w:pPr>
        <w:spacing w:line="260" w:lineRule="atLeast"/>
        <w:ind w:left="2553" w:right="986"/>
        <w:jc w:val="left"/>
        <w:rPr>
          <w:rFonts w:eastAsia="Times New Roman" w:cs="Arial"/>
          <w:i/>
          <w:sz w:val="18"/>
          <w:u w:val="single"/>
          <w:lang w:eastAsia="en-NZ"/>
        </w:rPr>
      </w:pPr>
      <w:r w:rsidRPr="00F15D87">
        <w:rPr>
          <w:rFonts w:eastAsia="Times New Roman" w:cs="Arial"/>
          <w:i/>
          <w:sz w:val="18"/>
          <w:u w:val="single"/>
          <w:lang w:eastAsia="en-NZ"/>
        </w:rPr>
        <w:t>(c) the alleged breach is of a kind identified in regulation 6(1A) of these regulations.</w:t>
      </w:r>
    </w:p>
    <w:p w14:paraId="69AC4216" w14:textId="77777777" w:rsidR="00F15D87" w:rsidRPr="00F15D87" w:rsidRDefault="00F15D87" w:rsidP="00F15D87">
      <w:pPr>
        <w:spacing w:line="260" w:lineRule="atLeast"/>
        <w:ind w:left="2553" w:right="986"/>
        <w:jc w:val="left"/>
        <w:rPr>
          <w:rFonts w:eastAsia="Times New Roman" w:cs="Arial"/>
          <w:b/>
          <w:i/>
          <w:sz w:val="18"/>
          <w:lang w:eastAsia="en-NZ"/>
        </w:rPr>
      </w:pPr>
    </w:p>
    <w:p w14:paraId="107034D0" w14:textId="77777777" w:rsidR="00F15D87" w:rsidRPr="00F15D87" w:rsidRDefault="00F15D87" w:rsidP="00F15D87">
      <w:pPr>
        <w:spacing w:line="260" w:lineRule="atLeast"/>
        <w:ind w:left="1701" w:right="986"/>
        <w:jc w:val="left"/>
        <w:rPr>
          <w:rFonts w:eastAsia="Times New Roman" w:cs="Arial"/>
          <w:sz w:val="18"/>
          <w:lang w:eastAsia="en-NZ"/>
        </w:rPr>
      </w:pPr>
      <w:r w:rsidRPr="00F15D87">
        <w:rPr>
          <w:rFonts w:eastAsia="Times New Roman" w:cs="Arial"/>
          <w:sz w:val="18"/>
          <w:lang w:eastAsia="en-NZ"/>
        </w:rPr>
        <w:t>(2) In making a decision for the purpose of subclause (1)(b), a reporting participant must have regard to—</w:t>
      </w:r>
    </w:p>
    <w:p w14:paraId="3BA6DBD7" w14:textId="77777777" w:rsidR="00F15D87" w:rsidRPr="00F15D87" w:rsidRDefault="00F15D87" w:rsidP="00F15D87">
      <w:pPr>
        <w:spacing w:line="260" w:lineRule="atLeast"/>
        <w:ind w:left="2553" w:right="986"/>
        <w:jc w:val="left"/>
        <w:rPr>
          <w:rFonts w:eastAsia="Times New Roman" w:cs="Arial"/>
          <w:sz w:val="18"/>
          <w:lang w:eastAsia="en-NZ"/>
        </w:rPr>
      </w:pPr>
      <w:r w:rsidRPr="00F15D87">
        <w:rPr>
          <w:rFonts w:eastAsia="Times New Roman" w:cs="Arial"/>
          <w:sz w:val="18"/>
          <w:lang w:eastAsia="en-NZ"/>
        </w:rPr>
        <w:t>(a) any determinations published by the market administrator under regulation 22; and</w:t>
      </w:r>
    </w:p>
    <w:p w14:paraId="0B4C9D80" w14:textId="77777777" w:rsidR="00F15D87" w:rsidRPr="00F15D87" w:rsidRDefault="00F15D87" w:rsidP="00F15D87">
      <w:pPr>
        <w:spacing w:line="260" w:lineRule="atLeast"/>
        <w:ind w:left="2553" w:right="986"/>
        <w:jc w:val="left"/>
        <w:rPr>
          <w:rFonts w:eastAsia="Times New Roman" w:cs="Arial"/>
          <w:sz w:val="18"/>
          <w:lang w:eastAsia="en-NZ"/>
        </w:rPr>
      </w:pPr>
      <w:r w:rsidRPr="00F15D87">
        <w:rPr>
          <w:rFonts w:eastAsia="Times New Roman" w:cs="Arial"/>
          <w:sz w:val="18"/>
          <w:lang w:eastAsia="en-NZ"/>
        </w:rPr>
        <w:t>(b) any guidelines issued by the market administrator under regulation 19(2) or 19A.</w:t>
      </w:r>
    </w:p>
    <w:p w14:paraId="1542FB8A" w14:textId="77777777" w:rsidR="00F15D87" w:rsidRPr="00F15D87" w:rsidRDefault="00F15D87" w:rsidP="00F15D87">
      <w:pPr>
        <w:spacing w:line="260" w:lineRule="atLeast"/>
        <w:ind w:left="1701" w:right="986"/>
        <w:jc w:val="left"/>
        <w:rPr>
          <w:rFonts w:eastAsia="Times New Roman" w:cs="Arial"/>
          <w:sz w:val="18"/>
          <w:lang w:eastAsia="en-NZ"/>
        </w:rPr>
      </w:pPr>
      <w:r w:rsidRPr="00F15D87">
        <w:rPr>
          <w:rFonts w:eastAsia="Times New Roman" w:cs="Arial"/>
          <w:sz w:val="18"/>
          <w:lang w:eastAsia="en-NZ"/>
        </w:rPr>
        <w:t>(3) Each reporting participant must ensure that the market administrator receives a monthly report detailing any alleged breaches that the reporting participant, in reliance on this regulation, does not notify under regulation 11(1).</w:t>
      </w:r>
    </w:p>
    <w:p w14:paraId="45B88DE9" w14:textId="77777777" w:rsidR="00F15D87" w:rsidRPr="00F15D87" w:rsidRDefault="00F15D87" w:rsidP="00F15D87">
      <w:pPr>
        <w:spacing w:line="260" w:lineRule="atLeast"/>
        <w:ind w:left="1701" w:right="986"/>
        <w:jc w:val="left"/>
        <w:rPr>
          <w:rFonts w:eastAsia="Times New Roman" w:cs="Arial"/>
          <w:sz w:val="18"/>
          <w:lang w:eastAsia="en-NZ"/>
        </w:rPr>
      </w:pPr>
      <w:r w:rsidRPr="00F15D87">
        <w:rPr>
          <w:rFonts w:eastAsia="Times New Roman" w:cs="Arial"/>
          <w:sz w:val="18"/>
          <w:lang w:eastAsia="en-NZ"/>
        </w:rPr>
        <w:t>(4) This regulation does not limit regulations 9 and 10 (voluntary reporting of alleged breaches).</w:t>
      </w:r>
    </w:p>
    <w:p w14:paraId="6A5CBD65" w14:textId="77777777" w:rsidR="00F15D87" w:rsidRDefault="00F15D87" w:rsidP="00F15D87">
      <w:pPr>
        <w:pStyle w:val="ListParagraph"/>
      </w:pPr>
    </w:p>
    <w:p w14:paraId="2A62E0CA" w14:textId="77777777" w:rsidR="00F15D87" w:rsidRDefault="00F15D87" w:rsidP="00F15D87">
      <w:pPr>
        <w:pStyle w:val="Appendixheading1"/>
        <w:numPr>
          <w:ilvl w:val="0"/>
          <w:numId w:val="0"/>
        </w:numPr>
        <w:ind w:left="1559" w:hanging="1559"/>
      </w:pPr>
    </w:p>
    <w:p w14:paraId="14B67965" w14:textId="77777777" w:rsidR="00F25FFA" w:rsidRDefault="00F25FFA" w:rsidP="009F2BE5">
      <w:pPr>
        <w:pStyle w:val="Appendixheading1"/>
        <w:numPr>
          <w:ilvl w:val="0"/>
          <w:numId w:val="0"/>
        </w:numPr>
        <w:sectPr w:rsidR="00F25FFA" w:rsidSect="000712F4">
          <w:headerReference w:type="default" r:id="rId15"/>
          <w:pgSz w:w="11906" w:h="16838" w:code="9"/>
          <w:pgMar w:top="1440" w:right="1418" w:bottom="1440" w:left="1134" w:header="709" w:footer="709" w:gutter="0"/>
          <w:cols w:space="708"/>
          <w:docGrid w:linePitch="272"/>
        </w:sectPr>
      </w:pPr>
    </w:p>
    <w:p w14:paraId="477B58D0" w14:textId="71817D9C" w:rsidR="0022396B" w:rsidRDefault="0060741B" w:rsidP="0022396B">
      <w:pPr>
        <w:pStyle w:val="Appendixheading1"/>
      </w:pPr>
      <w:bookmarkStart w:id="91" w:name="_Toc495327996"/>
      <w:r>
        <w:lastRenderedPageBreak/>
        <w:t xml:space="preserve">Trustpower requested </w:t>
      </w:r>
      <w:r w:rsidR="0022396B">
        <w:t xml:space="preserve">changes to the </w:t>
      </w:r>
      <w:r w:rsidR="00AF7770">
        <w:t>GTAC</w:t>
      </w:r>
      <w:bookmarkEnd w:id="91"/>
    </w:p>
    <w:p w14:paraId="5A7D0C07" w14:textId="77777777" w:rsidR="0022396B" w:rsidRPr="00BE368A" w:rsidRDefault="0022396B" w:rsidP="0022396B">
      <w:pPr>
        <w:jc w:val="center"/>
        <w:rPr>
          <w:rFonts w:asciiTheme="minorHAnsi" w:hAnsiTheme="minorHAnsi"/>
          <w:i/>
          <w:highlight w:val="yellow"/>
        </w:rPr>
      </w:pPr>
    </w:p>
    <w:p w14:paraId="0A435963" w14:textId="77777777" w:rsidR="0022396B" w:rsidRDefault="0022396B" w:rsidP="0022396B">
      <w:pPr>
        <w:jc w:val="center"/>
      </w:pPr>
      <w:r w:rsidRPr="0022396B">
        <w:rPr>
          <w:rFonts w:asciiTheme="minorHAnsi" w:hAnsiTheme="minorHAnsi"/>
          <w:i/>
          <w:sz w:val="22"/>
          <w:szCs w:val="22"/>
        </w:rPr>
        <w:t>[attached as a separate document]</w:t>
      </w:r>
    </w:p>
    <w:p w14:paraId="25D5B95F" w14:textId="34C684CA" w:rsidR="00D71D7C" w:rsidRDefault="00D71D7C" w:rsidP="00BE368A">
      <w:pPr>
        <w:jc w:val="center"/>
      </w:pPr>
    </w:p>
    <w:sectPr w:rsidR="00D71D7C" w:rsidSect="00D71D7C">
      <w:pgSz w:w="11907" w:h="16840" w:code="9"/>
      <w:pgMar w:top="1440" w:right="1418" w:bottom="1440"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5FF5D" w14:textId="77777777" w:rsidR="008008CD" w:rsidRDefault="008008CD">
      <w:r>
        <w:separator/>
      </w:r>
    </w:p>
  </w:endnote>
  <w:endnote w:type="continuationSeparator" w:id="0">
    <w:p w14:paraId="2786C444" w14:textId="77777777" w:rsidR="008008CD" w:rsidRDefault="008008CD">
      <w:r>
        <w:continuationSeparator/>
      </w:r>
    </w:p>
  </w:endnote>
  <w:endnote w:type="continuationNotice" w:id="1">
    <w:p w14:paraId="205259C0" w14:textId="77777777" w:rsidR="008008CD" w:rsidRDefault="00800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BSWarburgLogo">
    <w:altName w:val="Georgia"/>
    <w:panose1 w:val="00000000000000000000"/>
    <w:charset w:val="00"/>
    <w:family w:val="roman"/>
    <w:notTrueType/>
    <w:pitch w:val="variable"/>
    <w:sig w:usb0="00000003" w:usb1="00000000" w:usb2="00000000" w:usb3="00000000" w:csb0="00000001" w:csb1="00000000"/>
  </w:font>
  <w:font w:name="Frutiger 45 Light">
    <w:altName w:val="Lucida Sans Unicode"/>
    <w:panose1 w:val="00000000000000000000"/>
    <w:charset w:val="00"/>
    <w:family w:val="swiss"/>
    <w:notTrueType/>
    <w:pitch w:val="variable"/>
    <w:sig w:usb0="00000003" w:usb1="00000000" w:usb2="00000000" w:usb3="00000000" w:csb0="00000001" w:csb1="00000000"/>
  </w:font>
  <w:font w:name="CharterITC BT">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0178F" w14:textId="77777777" w:rsidR="008008CD" w:rsidRPr="00C41317" w:rsidRDefault="008008CD" w:rsidP="007050E5">
    <w:pPr>
      <w:pStyle w:val="Footer"/>
      <w:tabs>
        <w:tab w:val="clear" w:pos="4320"/>
        <w:tab w:val="clear" w:pos="8640"/>
        <w:tab w:val="center" w:pos="4678"/>
        <w:tab w:val="right" w:pos="9356"/>
      </w:tabs>
      <w:rPr>
        <w:rFonts w:asciiTheme="minorHAnsi" w:hAnsiTheme="minorHAnsi" w:cstheme="minorHAnsi"/>
        <w:sz w:val="4"/>
        <w:szCs w:val="4"/>
      </w:rPr>
    </w:pPr>
  </w:p>
  <w:p w14:paraId="5AA4A0B0" w14:textId="77777777" w:rsidR="008008CD" w:rsidRPr="001B696E" w:rsidRDefault="008008CD" w:rsidP="00E82F82">
    <w:pPr>
      <w:pStyle w:val="Footer"/>
      <w:tabs>
        <w:tab w:val="clear" w:pos="4320"/>
        <w:tab w:val="clear" w:pos="8640"/>
        <w:tab w:val="center" w:pos="4678"/>
        <w:tab w:val="right" w:pos="9356"/>
      </w:tabs>
      <w:rPr>
        <w:rFonts w:asciiTheme="minorHAnsi" w:hAnsiTheme="minorHAnsi" w:cstheme="minorHAnsi"/>
        <w:color w:val="7F1399"/>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9EA89" w14:textId="77777777" w:rsidR="008008CD" w:rsidRPr="00C41317" w:rsidRDefault="008008CD" w:rsidP="00E82F82">
    <w:pPr>
      <w:pStyle w:val="Footer"/>
      <w:pBdr>
        <w:top w:val="single" w:sz="8" w:space="1" w:color="6EB732"/>
      </w:pBdr>
      <w:tabs>
        <w:tab w:val="clear" w:pos="4320"/>
        <w:tab w:val="clear" w:pos="8640"/>
        <w:tab w:val="center" w:pos="4678"/>
        <w:tab w:val="right" w:pos="9356"/>
      </w:tabs>
      <w:rPr>
        <w:rFonts w:asciiTheme="minorHAnsi" w:hAnsiTheme="minorHAnsi" w:cstheme="minorHAnsi"/>
        <w:sz w:val="4"/>
        <w:szCs w:val="4"/>
      </w:rPr>
    </w:pPr>
  </w:p>
  <w:p w14:paraId="02B773F2" w14:textId="2BEFC651" w:rsidR="008008CD" w:rsidRPr="001B696E" w:rsidRDefault="008008CD" w:rsidP="00E82F82">
    <w:pPr>
      <w:pStyle w:val="Footer"/>
      <w:tabs>
        <w:tab w:val="clear" w:pos="4320"/>
        <w:tab w:val="clear" w:pos="8640"/>
        <w:tab w:val="center" w:pos="4678"/>
        <w:tab w:val="right" w:pos="9356"/>
      </w:tabs>
      <w:rPr>
        <w:rFonts w:asciiTheme="minorHAnsi" w:hAnsiTheme="minorHAnsi" w:cstheme="minorHAnsi"/>
        <w:color w:val="7F1399"/>
        <w:sz w:val="18"/>
        <w:szCs w:val="18"/>
      </w:rPr>
    </w:pPr>
    <w:r w:rsidRPr="001B696E">
      <w:rPr>
        <w:rFonts w:asciiTheme="minorHAnsi" w:hAnsiTheme="minorHAnsi" w:cstheme="minorHAnsi"/>
        <w:color w:val="7F1399"/>
        <w:sz w:val="18"/>
        <w:szCs w:val="18"/>
      </w:rPr>
      <w:t>Trus</w:t>
    </w:r>
    <w:r>
      <w:rPr>
        <w:rFonts w:asciiTheme="minorHAnsi" w:hAnsiTheme="minorHAnsi" w:cstheme="minorHAnsi"/>
        <w:color w:val="7F1399"/>
        <w:sz w:val="18"/>
        <w:szCs w:val="18"/>
      </w:rPr>
      <w:t>tp</w:t>
    </w:r>
    <w:r w:rsidRPr="001B696E">
      <w:rPr>
        <w:rFonts w:asciiTheme="minorHAnsi" w:hAnsiTheme="minorHAnsi" w:cstheme="minorHAnsi"/>
        <w:color w:val="7F1399"/>
        <w:sz w:val="18"/>
        <w:szCs w:val="18"/>
      </w:rPr>
      <w:t>ower submission</w:t>
    </w:r>
    <w:r w:rsidRPr="001B696E">
      <w:rPr>
        <w:rFonts w:asciiTheme="minorHAnsi" w:hAnsiTheme="minorHAnsi" w:cstheme="minorHAnsi"/>
        <w:color w:val="7F1399"/>
        <w:sz w:val="18"/>
        <w:szCs w:val="18"/>
      </w:rPr>
      <w:tab/>
    </w:r>
    <w:r w:rsidRPr="001B696E">
      <w:rPr>
        <w:rFonts w:asciiTheme="minorHAnsi" w:hAnsiTheme="minorHAnsi" w:cstheme="minorHAnsi"/>
        <w:color w:val="7F1399"/>
        <w:sz w:val="18"/>
        <w:szCs w:val="18"/>
      </w:rPr>
      <w:fldChar w:fldCharType="begin"/>
    </w:r>
    <w:r w:rsidRPr="001B696E">
      <w:rPr>
        <w:rFonts w:asciiTheme="minorHAnsi" w:hAnsiTheme="minorHAnsi" w:cstheme="minorHAnsi"/>
        <w:color w:val="7F1399"/>
        <w:sz w:val="18"/>
        <w:szCs w:val="18"/>
      </w:rPr>
      <w:instrText xml:space="preserve"> PAGE   \* MERGEFORMAT </w:instrText>
    </w:r>
    <w:r w:rsidRPr="001B696E">
      <w:rPr>
        <w:rFonts w:asciiTheme="minorHAnsi" w:hAnsiTheme="minorHAnsi" w:cstheme="minorHAnsi"/>
        <w:color w:val="7F1399"/>
        <w:sz w:val="18"/>
        <w:szCs w:val="18"/>
      </w:rPr>
      <w:fldChar w:fldCharType="separate"/>
    </w:r>
    <w:r w:rsidR="00D64E92">
      <w:rPr>
        <w:rFonts w:asciiTheme="minorHAnsi" w:hAnsiTheme="minorHAnsi" w:cstheme="minorHAnsi"/>
        <w:noProof/>
        <w:color w:val="7F1399"/>
        <w:sz w:val="18"/>
        <w:szCs w:val="18"/>
      </w:rPr>
      <w:t>i</w:t>
    </w:r>
    <w:r w:rsidRPr="001B696E">
      <w:rPr>
        <w:rFonts w:asciiTheme="minorHAnsi" w:hAnsiTheme="minorHAnsi" w:cstheme="minorHAnsi"/>
        <w:color w:val="7F1399"/>
        <w:sz w:val="18"/>
        <w:szCs w:val="18"/>
      </w:rPr>
      <w:fldChar w:fldCharType="end"/>
    </w:r>
    <w:r w:rsidRPr="001B696E">
      <w:rPr>
        <w:rFonts w:asciiTheme="minorHAnsi" w:hAnsiTheme="minorHAnsi" w:cstheme="minorHAnsi"/>
        <w:color w:val="7F1399"/>
        <w:sz w:val="18"/>
        <w:szCs w:val="18"/>
      </w:rPr>
      <w:tab/>
      <w:t>3 November 2015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5F5BC" w14:textId="77777777" w:rsidR="008008CD" w:rsidRPr="00C41317" w:rsidRDefault="008008CD" w:rsidP="008F5D37">
    <w:pPr>
      <w:pStyle w:val="Footer"/>
      <w:pBdr>
        <w:top w:val="single" w:sz="8" w:space="1" w:color="6EB732"/>
      </w:pBdr>
      <w:tabs>
        <w:tab w:val="clear" w:pos="4320"/>
        <w:tab w:val="clear" w:pos="8640"/>
        <w:tab w:val="center" w:pos="4678"/>
        <w:tab w:val="right" w:pos="9356"/>
      </w:tabs>
      <w:rPr>
        <w:rFonts w:asciiTheme="minorHAnsi" w:hAnsiTheme="minorHAnsi" w:cstheme="minorHAnsi"/>
        <w:sz w:val="4"/>
        <w:szCs w:val="4"/>
      </w:rPr>
    </w:pPr>
  </w:p>
  <w:p w14:paraId="409126E8" w14:textId="4D3E5F64" w:rsidR="008008CD" w:rsidRPr="008F5D37" w:rsidRDefault="008008CD" w:rsidP="006B2D04">
    <w:pPr>
      <w:pStyle w:val="Footer"/>
      <w:tabs>
        <w:tab w:val="clear" w:pos="4320"/>
        <w:tab w:val="clear" w:pos="8640"/>
        <w:tab w:val="center" w:pos="6946"/>
        <w:tab w:val="right" w:pos="13892"/>
      </w:tabs>
      <w:rPr>
        <w:rFonts w:asciiTheme="minorHAnsi" w:hAnsiTheme="minorHAnsi" w:cstheme="minorHAnsi"/>
        <w:color w:val="7F1399"/>
        <w:sz w:val="18"/>
        <w:szCs w:val="18"/>
      </w:rPr>
    </w:pPr>
    <w:r w:rsidRPr="008F5D37">
      <w:rPr>
        <w:rFonts w:asciiTheme="minorHAnsi" w:hAnsiTheme="minorHAnsi" w:cstheme="minorHAnsi"/>
        <w:color w:val="7F1399"/>
        <w:sz w:val="18"/>
        <w:szCs w:val="18"/>
      </w:rPr>
      <w:t>Trustpower submission</w:t>
    </w:r>
    <w:r w:rsidRPr="008F5D37">
      <w:rPr>
        <w:rFonts w:asciiTheme="minorHAnsi" w:hAnsiTheme="minorHAnsi" w:cstheme="minorHAnsi"/>
        <w:color w:val="7F1399"/>
        <w:sz w:val="18"/>
        <w:szCs w:val="18"/>
      </w:rPr>
      <w:tab/>
    </w:r>
    <w:r w:rsidRPr="008F5D37">
      <w:rPr>
        <w:rFonts w:asciiTheme="minorHAnsi" w:hAnsiTheme="minorHAnsi" w:cstheme="minorHAnsi"/>
        <w:color w:val="7F1399"/>
        <w:sz w:val="18"/>
        <w:szCs w:val="18"/>
      </w:rPr>
      <w:fldChar w:fldCharType="begin"/>
    </w:r>
    <w:r w:rsidRPr="008F5D37">
      <w:rPr>
        <w:rFonts w:asciiTheme="minorHAnsi" w:hAnsiTheme="minorHAnsi" w:cstheme="minorHAnsi"/>
        <w:color w:val="7F1399"/>
        <w:sz w:val="18"/>
        <w:szCs w:val="18"/>
      </w:rPr>
      <w:instrText xml:space="preserve"> PAGE   \* MERGEFORMAT </w:instrText>
    </w:r>
    <w:r w:rsidRPr="008F5D37">
      <w:rPr>
        <w:rFonts w:asciiTheme="minorHAnsi" w:hAnsiTheme="minorHAnsi" w:cstheme="minorHAnsi"/>
        <w:color w:val="7F1399"/>
        <w:sz w:val="18"/>
        <w:szCs w:val="18"/>
      </w:rPr>
      <w:fldChar w:fldCharType="separate"/>
    </w:r>
    <w:r w:rsidR="00D64E92">
      <w:rPr>
        <w:rFonts w:asciiTheme="minorHAnsi" w:hAnsiTheme="minorHAnsi" w:cstheme="minorHAnsi"/>
        <w:noProof/>
        <w:color w:val="7F1399"/>
        <w:sz w:val="18"/>
        <w:szCs w:val="18"/>
      </w:rPr>
      <w:t>19</w:t>
    </w:r>
    <w:r w:rsidRPr="008F5D37">
      <w:rPr>
        <w:rFonts w:asciiTheme="minorHAnsi" w:hAnsiTheme="minorHAnsi" w:cstheme="minorHAnsi"/>
        <w:color w:val="7F1399"/>
        <w:sz w:val="18"/>
        <w:szCs w:val="18"/>
      </w:rPr>
      <w:fldChar w:fldCharType="end"/>
    </w:r>
    <w:r w:rsidRPr="008F5D37">
      <w:rPr>
        <w:rFonts w:asciiTheme="minorHAnsi" w:hAnsiTheme="minorHAnsi" w:cstheme="minorHAnsi"/>
        <w:color w:val="7F1399"/>
        <w:sz w:val="18"/>
        <w:szCs w:val="18"/>
      </w:rPr>
      <w:tab/>
    </w:r>
    <w:r>
      <w:rPr>
        <w:rFonts w:asciiTheme="minorHAnsi" w:hAnsiTheme="minorHAnsi" w:cstheme="minorHAnsi"/>
        <w:color w:val="7F1399"/>
        <w:sz w:val="18"/>
        <w:szCs w:val="18"/>
      </w:rPr>
      <w:fldChar w:fldCharType="begin"/>
    </w:r>
    <w:r>
      <w:rPr>
        <w:rFonts w:asciiTheme="minorHAnsi" w:hAnsiTheme="minorHAnsi" w:cstheme="minorHAnsi"/>
        <w:color w:val="7F1399"/>
        <w:sz w:val="18"/>
        <w:szCs w:val="18"/>
      </w:rPr>
      <w:instrText xml:space="preserve"> DATE \@ "d MMMM yyyy" </w:instrText>
    </w:r>
    <w:r>
      <w:rPr>
        <w:rFonts w:asciiTheme="minorHAnsi" w:hAnsiTheme="minorHAnsi" w:cstheme="minorHAnsi"/>
        <w:color w:val="7F1399"/>
        <w:sz w:val="18"/>
        <w:szCs w:val="18"/>
      </w:rPr>
      <w:fldChar w:fldCharType="separate"/>
    </w:r>
    <w:r>
      <w:rPr>
        <w:rFonts w:asciiTheme="minorHAnsi" w:hAnsiTheme="minorHAnsi" w:cstheme="minorHAnsi"/>
        <w:noProof/>
        <w:color w:val="7F1399"/>
        <w:sz w:val="18"/>
        <w:szCs w:val="18"/>
      </w:rPr>
      <w:t>9 October 2017</w:t>
    </w:r>
    <w:r>
      <w:rPr>
        <w:rFonts w:asciiTheme="minorHAnsi" w:hAnsiTheme="minorHAnsi" w:cstheme="minorHAnsi"/>
        <w:color w:val="7F139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98383" w14:textId="77777777" w:rsidR="008008CD" w:rsidRDefault="008008CD">
      <w:r>
        <w:separator/>
      </w:r>
    </w:p>
  </w:footnote>
  <w:footnote w:type="continuationSeparator" w:id="0">
    <w:p w14:paraId="05BA2B7F" w14:textId="77777777" w:rsidR="008008CD" w:rsidRDefault="008008CD">
      <w:r>
        <w:continuationSeparator/>
      </w:r>
    </w:p>
  </w:footnote>
  <w:footnote w:type="continuationNotice" w:id="1">
    <w:p w14:paraId="31B6E671" w14:textId="77777777" w:rsidR="008008CD" w:rsidRDefault="008008CD"/>
  </w:footnote>
  <w:footnote w:id="2">
    <w:p w14:paraId="1894F8B8" w14:textId="482428E2" w:rsidR="008008CD" w:rsidRPr="0037086D" w:rsidRDefault="008008CD" w:rsidP="0085389B">
      <w:pPr>
        <w:pStyle w:val="Footnote"/>
      </w:pPr>
      <w:r w:rsidRPr="0037086D">
        <w:rPr>
          <w:rStyle w:val="FootnoteReference"/>
          <w:sz w:val="16"/>
          <w:szCs w:val="16"/>
        </w:rPr>
        <w:footnoteRef/>
      </w:r>
      <w:r w:rsidRPr="0037086D">
        <w:t xml:space="preserve"> We note that the regulatory objectives which represents a more “targeted” objective for the </w:t>
      </w:r>
      <w:r>
        <w:t>GTAC</w:t>
      </w:r>
      <w:r w:rsidRPr="0037086D">
        <w:t xml:space="preserve"> development but should be considered to be subordinate to the Gas Act and GPS objectives from the perspective of the GIC’s review</w:t>
      </w:r>
    </w:p>
  </w:footnote>
  <w:footnote w:id="3">
    <w:p w14:paraId="2579642E" w14:textId="5DD15A50" w:rsidR="008008CD" w:rsidRPr="00F65762" w:rsidRDefault="008008CD" w:rsidP="00D12BFD">
      <w:pPr>
        <w:pStyle w:val="Footnote"/>
        <w:spacing w:after="0"/>
      </w:pPr>
      <w:r w:rsidRPr="00F65762">
        <w:rPr>
          <w:rStyle w:val="FootnoteReference"/>
        </w:rPr>
        <w:footnoteRef/>
      </w:r>
      <w:r w:rsidRPr="00F65762">
        <w:t xml:space="preserve"> </w:t>
      </w:r>
      <w:r>
        <w:t>We make broader suggests in this submission</w:t>
      </w:r>
      <w:r w:rsidRPr="00F65762">
        <w:t xml:space="preserve"> around the need for transparency across the entire gas industry and suggest the GIC and MBIE consider a regulated solution.</w:t>
      </w:r>
      <w:r>
        <w:t xml:space="preserve"> This suggestion goes beyond the scope of the GTAC.</w:t>
      </w:r>
    </w:p>
  </w:footnote>
  <w:footnote w:id="4">
    <w:p w14:paraId="688B381C" w14:textId="5DEAFD75" w:rsidR="008008CD" w:rsidRPr="001533BA" w:rsidRDefault="008008CD" w:rsidP="00D12BFD">
      <w:pPr>
        <w:pStyle w:val="Footnote"/>
        <w:spacing w:after="0"/>
      </w:pPr>
      <w:r w:rsidRPr="001533BA">
        <w:rPr>
          <w:rStyle w:val="FootnoteReference"/>
        </w:rPr>
        <w:footnoteRef/>
      </w:r>
      <w:r w:rsidRPr="001533BA">
        <w:t xml:space="preserve"> As reflected in: </w:t>
      </w:r>
      <w:hyperlink r:id="rId1" w:history="1">
        <w:r w:rsidRPr="001533BA">
          <w:rPr>
            <w:rStyle w:val="Hyperlink"/>
          </w:rPr>
          <w:t>http://gasindustry.co.nz/about-us/news-and-events/news/gas-industry-co-19-september-2017-news-bulletin/</w:t>
        </w:r>
      </w:hyperlink>
      <w:r w:rsidRPr="001533BA">
        <w:t xml:space="preserve"> </w:t>
      </w:r>
    </w:p>
  </w:footnote>
  <w:footnote w:id="5">
    <w:p w14:paraId="5BE1F01B" w14:textId="3D54B065" w:rsidR="008008CD" w:rsidRPr="009C3346" w:rsidRDefault="008008CD" w:rsidP="0085389B">
      <w:pPr>
        <w:pStyle w:val="Footnote"/>
      </w:pPr>
      <w:r w:rsidRPr="00D12BFD">
        <w:rPr>
          <w:rStyle w:val="FootnoteReference"/>
        </w:rPr>
        <w:footnoteRef/>
      </w:r>
      <w:r w:rsidRPr="00D12BFD">
        <w:t xml:space="preserve"> </w:t>
      </w:r>
      <w:r w:rsidRPr="009C3346">
        <w:t>It is useful to note that while capacity is un-firm under the MPOC, this portion of the transmission system has a glut of surplus capacity, and as such congestion is highly unlikely.</w:t>
      </w:r>
    </w:p>
  </w:footnote>
  <w:footnote w:id="6">
    <w:p w14:paraId="2286A043" w14:textId="77A995A7" w:rsidR="008008CD" w:rsidRDefault="008008CD" w:rsidP="00D12BFD">
      <w:pPr>
        <w:pStyle w:val="Footnote"/>
        <w:spacing w:after="0"/>
      </w:pPr>
      <w:r>
        <w:rPr>
          <w:rStyle w:val="FootnoteReference"/>
        </w:rPr>
        <w:footnoteRef/>
      </w:r>
      <w:r>
        <w:t xml:space="preserve"> T</w:t>
      </w:r>
      <w:r w:rsidRPr="00806979">
        <w:t>here is some uncertainty as to how the need to auction Priority Rights fits with the broader criteria for reliability set by the Commerce Commission.</w:t>
      </w:r>
    </w:p>
  </w:footnote>
  <w:footnote w:id="7">
    <w:p w14:paraId="4FBBF570" w14:textId="3C662264" w:rsidR="008008CD" w:rsidRPr="00A605FB" w:rsidRDefault="008008CD" w:rsidP="00D12BFD">
      <w:pPr>
        <w:pStyle w:val="Footnote"/>
        <w:spacing w:after="0"/>
      </w:pPr>
      <w:r w:rsidRPr="00A605FB">
        <w:rPr>
          <w:rStyle w:val="FootnoteReference"/>
        </w:rPr>
        <w:footnoteRef/>
      </w:r>
      <w:r w:rsidRPr="00A605FB">
        <w:t xml:space="preserve"> Priority Rights are a tool for First Gas to attempt to manage congestion. They do not actually mean a Shipper has firm capacity transport arrangements under all scenarios - just firmer arrangements that provide a potential financial protection</w:t>
      </w:r>
    </w:p>
  </w:footnote>
  <w:footnote w:id="8">
    <w:p w14:paraId="3AD47ACE" w14:textId="54B0A29B" w:rsidR="008008CD" w:rsidRDefault="008008CD" w:rsidP="00D12BFD">
      <w:pPr>
        <w:pStyle w:val="Footnote"/>
        <w:spacing w:after="0"/>
      </w:pPr>
      <w:r w:rsidRPr="00DA3C47">
        <w:rPr>
          <w:rStyle w:val="FootnoteReference"/>
        </w:rPr>
        <w:footnoteRef/>
      </w:r>
      <w:r>
        <w:t xml:space="preserve"> D</w:t>
      </w:r>
      <w:r w:rsidRPr="00DA3C47">
        <w:t xml:space="preserve">uring contingency events and emergencies </w:t>
      </w:r>
      <w:r>
        <w:t>s</w:t>
      </w:r>
      <w:r w:rsidRPr="00DA3C47">
        <w:t>hippers will not be required to pay for Priority Rights.</w:t>
      </w:r>
      <w:r>
        <w:t xml:space="preserve"> </w:t>
      </w:r>
    </w:p>
  </w:footnote>
  <w:footnote w:id="9">
    <w:p w14:paraId="0093B96A" w14:textId="77777777" w:rsidR="008008CD" w:rsidRPr="00DD0806" w:rsidRDefault="008008CD" w:rsidP="001F446A">
      <w:pPr>
        <w:pStyle w:val="FootnoteText"/>
        <w:rPr>
          <w:rFonts w:asciiTheme="minorHAnsi" w:hAnsiTheme="minorHAnsi" w:cstheme="minorHAnsi"/>
        </w:rPr>
      </w:pPr>
      <w:r w:rsidRPr="00DD0806">
        <w:rPr>
          <w:rStyle w:val="FootnoteReference"/>
          <w:rFonts w:asciiTheme="minorHAnsi" w:hAnsiTheme="minorHAnsi" w:cstheme="minorHAnsi"/>
        </w:rPr>
        <w:footnoteRef/>
      </w:r>
      <w:r w:rsidRPr="00DD0806">
        <w:rPr>
          <w:rFonts w:asciiTheme="minorHAnsi" w:hAnsiTheme="minorHAnsi" w:cstheme="minorHAnsi"/>
        </w:rPr>
        <w:t xml:space="preserve"> Refer to page 14, Appendix A.</w:t>
      </w:r>
    </w:p>
  </w:footnote>
  <w:footnote w:id="10">
    <w:p w14:paraId="2127017E" w14:textId="77777777" w:rsidR="008008CD" w:rsidRDefault="008008CD" w:rsidP="001F446A">
      <w:pPr>
        <w:pStyle w:val="FootnoteText"/>
      </w:pPr>
      <w:r w:rsidRPr="00DD0806">
        <w:rPr>
          <w:rStyle w:val="FootnoteReference"/>
          <w:rFonts w:asciiTheme="minorHAnsi" w:hAnsiTheme="minorHAnsi" w:cstheme="minorHAnsi"/>
        </w:rPr>
        <w:footnoteRef/>
      </w:r>
      <w:r w:rsidRPr="00DD0806">
        <w:rPr>
          <w:rFonts w:asciiTheme="minorHAnsi" w:hAnsiTheme="minorHAnsi" w:cstheme="minorHAnsi"/>
        </w:rPr>
        <w:t xml:space="preserve"> </w:t>
      </w:r>
      <w:r>
        <w:rPr>
          <w:rFonts w:asciiTheme="minorHAnsi" w:hAnsiTheme="minorHAnsi" w:cstheme="minorHAnsi"/>
        </w:rPr>
        <w:t>Refer to page 4</w:t>
      </w:r>
      <w:r w:rsidRPr="00DD0806">
        <w:rPr>
          <w:rFonts w:asciiTheme="minorHAnsi" w:hAnsiTheme="minorHAnsi" w:cstheme="minorHAnsi"/>
        </w:rPr>
        <w:t>, Appendix A.</w:t>
      </w:r>
    </w:p>
  </w:footnote>
  <w:footnote w:id="11">
    <w:p w14:paraId="7CC7E978" w14:textId="77777777" w:rsidR="008008CD" w:rsidRPr="001E2B5D" w:rsidRDefault="008008CD" w:rsidP="001F446A">
      <w:pPr>
        <w:pStyle w:val="FootnoteText"/>
        <w:rPr>
          <w:rFonts w:asciiTheme="minorHAnsi" w:hAnsiTheme="minorHAnsi" w:cstheme="minorHAnsi"/>
        </w:rPr>
      </w:pPr>
      <w:r w:rsidRPr="001E2B5D">
        <w:rPr>
          <w:rStyle w:val="FootnoteReference"/>
          <w:rFonts w:asciiTheme="minorHAnsi" w:hAnsiTheme="minorHAnsi" w:cstheme="minorHAnsi"/>
        </w:rPr>
        <w:footnoteRef/>
      </w:r>
      <w:r w:rsidRPr="001E2B5D">
        <w:rPr>
          <w:rFonts w:asciiTheme="minorHAnsi" w:hAnsiTheme="minorHAnsi" w:cstheme="minorHAnsi"/>
        </w:rPr>
        <w:t xml:space="preserve"> Refer to Appendix A, page 16.</w:t>
      </w:r>
    </w:p>
  </w:footnote>
  <w:footnote w:id="12">
    <w:p w14:paraId="753414E4" w14:textId="625598E1" w:rsidR="008008CD" w:rsidRDefault="008008CD">
      <w:pPr>
        <w:pStyle w:val="FootnoteText"/>
      </w:pPr>
      <w:r>
        <w:rPr>
          <w:rStyle w:val="FootnoteReference"/>
        </w:rPr>
        <w:footnoteRef/>
      </w:r>
      <w:r>
        <w:t xml:space="preserve"> </w:t>
      </w:r>
      <w:r w:rsidRPr="001E2B5D">
        <w:rPr>
          <w:rFonts w:asciiTheme="minorHAnsi" w:hAnsiTheme="minorHAnsi" w:cstheme="minorHAnsi"/>
        </w:rPr>
        <w:t xml:space="preserve">Refer to Appendix A, page </w:t>
      </w:r>
      <w:r>
        <w:rPr>
          <w:rFonts w:asciiTheme="minorHAnsi" w:hAnsiTheme="minorHAnsi" w:cstheme="minorHAnsi"/>
        </w:rPr>
        <w:t>10</w:t>
      </w:r>
      <w:r w:rsidRPr="001E2B5D">
        <w:rPr>
          <w:rFonts w:asciiTheme="minorHAnsi" w:hAnsiTheme="minorHAnsi" w:cstheme="minorHAnsi"/>
        </w:rPr>
        <w:t>.</w:t>
      </w:r>
    </w:p>
  </w:footnote>
  <w:footnote w:id="13">
    <w:p w14:paraId="22DEF646" w14:textId="77777777" w:rsidR="008008CD" w:rsidRDefault="008008CD" w:rsidP="001F446A">
      <w:pPr>
        <w:pStyle w:val="FootnoteText"/>
      </w:pPr>
      <w:r>
        <w:rPr>
          <w:rStyle w:val="FootnoteReference"/>
        </w:rPr>
        <w:footnoteRef/>
      </w:r>
      <w:r>
        <w:t xml:space="preserve"> </w:t>
      </w:r>
      <w:r w:rsidRPr="001E2B5D">
        <w:rPr>
          <w:rFonts w:asciiTheme="minorHAnsi" w:hAnsiTheme="minorHAnsi" w:cstheme="minorHAnsi"/>
        </w:rPr>
        <w:t xml:space="preserve">Refer to Appendix A, page </w:t>
      </w:r>
      <w:r>
        <w:rPr>
          <w:rFonts w:asciiTheme="minorHAnsi" w:hAnsiTheme="minorHAnsi" w:cstheme="minorHAnsi"/>
        </w:rPr>
        <w:t>16</w:t>
      </w:r>
      <w:r w:rsidRPr="001E2B5D">
        <w:rPr>
          <w:rFonts w:asciiTheme="minorHAnsi" w:hAnsiTheme="minorHAnsi" w:cstheme="minorHAnsi"/>
        </w:rPr>
        <w:t>.</w:t>
      </w:r>
    </w:p>
  </w:footnote>
  <w:footnote w:id="14">
    <w:p w14:paraId="0D6F1F16" w14:textId="55140D99" w:rsidR="008008CD" w:rsidRDefault="008008CD" w:rsidP="00164F79">
      <w:pPr>
        <w:pStyle w:val="FootnoteText"/>
      </w:pPr>
      <w:r>
        <w:rPr>
          <w:rStyle w:val="FootnoteReference"/>
        </w:rPr>
        <w:footnoteRef/>
      </w:r>
      <w:r>
        <w:t xml:space="preserve"> </w:t>
      </w:r>
      <w:r w:rsidRPr="00164F79">
        <w:rPr>
          <w:rFonts w:asciiTheme="minorHAnsi" w:hAnsiTheme="minorHAnsi" w:cstheme="minorHAnsi"/>
        </w:rPr>
        <w:t>Either now or during the separate consideration of Priority Rights, as requested by Trustpower in this response.</w:t>
      </w:r>
      <w:r>
        <w:rPr>
          <w:b/>
        </w:rPr>
        <w:t xml:space="preserve"> </w:t>
      </w:r>
    </w:p>
  </w:footnote>
  <w:footnote w:id="15">
    <w:p w14:paraId="41D521FA" w14:textId="5ECA5B5A" w:rsidR="008008CD" w:rsidRPr="00164F79" w:rsidRDefault="008008CD">
      <w:pPr>
        <w:pStyle w:val="FootnoteText"/>
        <w:rPr>
          <w:rFonts w:asciiTheme="minorHAnsi" w:hAnsiTheme="minorHAnsi" w:cstheme="minorHAnsi"/>
        </w:rPr>
      </w:pPr>
      <w:r w:rsidRPr="00164F79">
        <w:rPr>
          <w:rStyle w:val="FootnoteReference"/>
          <w:rFonts w:asciiTheme="minorHAnsi" w:hAnsiTheme="minorHAnsi" w:cstheme="minorHAnsi"/>
        </w:rPr>
        <w:footnoteRef/>
      </w:r>
      <w:r w:rsidRPr="00164F79">
        <w:rPr>
          <w:rFonts w:asciiTheme="minorHAnsi" w:hAnsiTheme="minorHAnsi" w:cstheme="minorHAnsi"/>
        </w:rPr>
        <w:t xml:space="preserve"> Refer to Appendix A, page </w:t>
      </w:r>
      <w:r>
        <w:rPr>
          <w:rFonts w:asciiTheme="minorHAnsi" w:hAnsiTheme="minorHAnsi" w:cstheme="minorHAnsi"/>
        </w:rPr>
        <w:t>6</w:t>
      </w:r>
      <w:r w:rsidRPr="00164F79">
        <w:rPr>
          <w:rFonts w:asciiTheme="minorHAnsi" w:hAnsiTheme="minorHAnsi" w:cstheme="minorHAnsi"/>
        </w:rPr>
        <w:t>.</w:t>
      </w:r>
    </w:p>
  </w:footnote>
  <w:footnote w:id="16">
    <w:p w14:paraId="0467C4E3" w14:textId="62098146" w:rsidR="008008CD" w:rsidRDefault="008008CD">
      <w:pPr>
        <w:pStyle w:val="FootnoteText"/>
      </w:pPr>
      <w:r>
        <w:rPr>
          <w:rStyle w:val="FootnoteReference"/>
        </w:rPr>
        <w:footnoteRef/>
      </w:r>
      <w:r>
        <w:t xml:space="preserve"> </w:t>
      </w:r>
      <w:r w:rsidRPr="00FF76C9">
        <w:rPr>
          <w:rFonts w:asciiTheme="minorHAnsi" w:hAnsiTheme="minorHAnsi" w:cstheme="minorHAnsi"/>
        </w:rPr>
        <w:t>Refer to Appendix A, page 16.</w:t>
      </w:r>
    </w:p>
  </w:footnote>
  <w:footnote w:id="17">
    <w:p w14:paraId="43A1D526" w14:textId="37E16FCC" w:rsidR="008008CD" w:rsidRDefault="008008CD">
      <w:pPr>
        <w:pStyle w:val="FootnoteText"/>
      </w:pPr>
      <w:r>
        <w:rPr>
          <w:rStyle w:val="FootnoteReference"/>
        </w:rPr>
        <w:footnoteRef/>
      </w:r>
      <w:r>
        <w:t xml:space="preserve"> </w:t>
      </w:r>
      <w:r>
        <w:rPr>
          <w:rFonts w:asciiTheme="minorHAnsi" w:hAnsiTheme="minorHAnsi" w:cstheme="minorHAnsi"/>
        </w:rPr>
        <w:t>Refer to Appendix A, page 14</w:t>
      </w:r>
      <w:r w:rsidRPr="00FF76C9">
        <w:rPr>
          <w:rFonts w:asciiTheme="minorHAnsi" w:hAnsiTheme="minorHAnsi" w:cstheme="minorHAnsi"/>
        </w:rPr>
        <w:t>.</w:t>
      </w:r>
    </w:p>
  </w:footnote>
  <w:footnote w:id="18">
    <w:p w14:paraId="04712E4C" w14:textId="143156A4" w:rsidR="008008CD" w:rsidRPr="00F55D61" w:rsidRDefault="008008CD" w:rsidP="0085389B">
      <w:pPr>
        <w:pStyle w:val="Footnote"/>
      </w:pPr>
      <w:r w:rsidRPr="00F55D61">
        <w:rPr>
          <w:rStyle w:val="FootnoteReference"/>
        </w:rPr>
        <w:footnoteRef/>
      </w:r>
      <w:r w:rsidRPr="00F55D61">
        <w:t xml:space="preserve"> Refer to: </w:t>
      </w:r>
      <w:hyperlink r:id="rId2" w:history="1">
        <w:r w:rsidRPr="00F55D61">
          <w:rPr>
            <w:rStyle w:val="Hyperlink"/>
          </w:rPr>
          <w:t>http://web.mit.edu/esd.126/www/MktsAuctions/EEI.pdf</w:t>
        </w:r>
      </w:hyperlink>
      <w:r w:rsidRPr="00F55D61">
        <w:t xml:space="preserve"> </w:t>
      </w:r>
    </w:p>
  </w:footnote>
  <w:footnote w:id="19">
    <w:p w14:paraId="5EE0E9F9" w14:textId="5F8A34FE" w:rsidR="008008CD" w:rsidRPr="00FF76C9" w:rsidRDefault="008008CD">
      <w:pPr>
        <w:pStyle w:val="FootnoteText"/>
        <w:rPr>
          <w:rFonts w:asciiTheme="minorHAnsi" w:hAnsiTheme="minorHAnsi" w:cstheme="minorHAnsi"/>
        </w:rPr>
      </w:pPr>
      <w:r w:rsidRPr="00FF76C9">
        <w:rPr>
          <w:rStyle w:val="FootnoteReference"/>
          <w:rFonts w:asciiTheme="minorHAnsi" w:hAnsiTheme="minorHAnsi" w:cstheme="minorHAnsi"/>
        </w:rPr>
        <w:footnoteRef/>
      </w:r>
      <w:r w:rsidRPr="00FF76C9">
        <w:rPr>
          <w:rFonts w:asciiTheme="minorHAnsi" w:hAnsiTheme="minorHAnsi" w:cstheme="minorHAnsi"/>
        </w:rPr>
        <w:t xml:space="preserve"> Refer to Appendix A, page 13. </w:t>
      </w:r>
    </w:p>
  </w:footnote>
  <w:footnote w:id="20">
    <w:p w14:paraId="3EB37B82" w14:textId="019F04FC" w:rsidR="008008CD" w:rsidRDefault="008008CD" w:rsidP="00FF76C9">
      <w:pPr>
        <w:pStyle w:val="FootnoteText"/>
      </w:pPr>
      <w:r w:rsidRPr="00FF76C9">
        <w:rPr>
          <w:rStyle w:val="FootnoteReference"/>
          <w:rFonts w:asciiTheme="majorHAnsi" w:hAnsiTheme="majorHAnsi"/>
        </w:rPr>
        <w:footnoteRef/>
      </w:r>
      <w:r>
        <w:t xml:space="preserve"> </w:t>
      </w:r>
      <w:r w:rsidRPr="00FF76C9">
        <w:rPr>
          <w:rFonts w:asciiTheme="minorHAnsi" w:hAnsiTheme="minorHAnsi" w:cstheme="minorHAnsi"/>
        </w:rPr>
        <w:t xml:space="preserve">Refer to Appendix A, page </w:t>
      </w:r>
      <w:r>
        <w:rPr>
          <w:rFonts w:asciiTheme="minorHAnsi" w:hAnsiTheme="minorHAnsi" w:cstheme="minorHAnsi"/>
        </w:rPr>
        <w:t>16</w:t>
      </w:r>
      <w:r w:rsidRPr="00FF76C9">
        <w:rPr>
          <w:rFonts w:asciiTheme="minorHAnsi" w:hAnsiTheme="minorHAnsi" w:cstheme="minorHAnsi"/>
        </w:rPr>
        <w:t>.</w:t>
      </w:r>
    </w:p>
  </w:footnote>
  <w:footnote w:id="21">
    <w:p w14:paraId="723194C2" w14:textId="6A8044AA" w:rsidR="008008CD" w:rsidRPr="00D072D5" w:rsidRDefault="008008CD" w:rsidP="001F446A">
      <w:pPr>
        <w:pStyle w:val="Footnote"/>
        <w:spacing w:after="0"/>
      </w:pPr>
      <w:r w:rsidRPr="00D072D5">
        <w:rPr>
          <w:rStyle w:val="FootnoteReference"/>
          <w:sz w:val="16"/>
          <w:szCs w:val="16"/>
        </w:rPr>
        <w:footnoteRef/>
      </w:r>
      <w:r w:rsidRPr="00D072D5">
        <w:t xml:space="preserve"> Brattle Group: Market Power Mitigation Mechanisms for the Wholesale Electricity Market in Western Australia (1 September 2016).</w:t>
      </w:r>
    </w:p>
  </w:footnote>
  <w:footnote w:id="22">
    <w:p w14:paraId="395CC2A8" w14:textId="3BD12DA7" w:rsidR="008008CD" w:rsidRPr="00F77EA8" w:rsidRDefault="008008CD" w:rsidP="001F446A">
      <w:pPr>
        <w:pStyle w:val="Footnote"/>
        <w:spacing w:after="0"/>
      </w:pPr>
      <w:r w:rsidRPr="00D072D5">
        <w:rPr>
          <w:rStyle w:val="FootnoteReference"/>
          <w:sz w:val="16"/>
          <w:szCs w:val="16"/>
        </w:rPr>
        <w:footnoteRef/>
      </w:r>
      <w:r w:rsidRPr="00D072D5">
        <w:t xml:space="preserve"> By market power mitigation arrangements we mean rules designed to c</w:t>
      </w:r>
      <w:r>
        <w:t>onstrain the behaviour of industry</w:t>
      </w:r>
      <w:r w:rsidRPr="00D072D5">
        <w:t xml:space="preserve"> participants in addition to the provisions of </w:t>
      </w:r>
      <w:r w:rsidRPr="00F77EA8">
        <w:t xml:space="preserve">general competition law. </w:t>
      </w:r>
    </w:p>
  </w:footnote>
  <w:footnote w:id="23">
    <w:p w14:paraId="7FAF9295" w14:textId="529CD38C" w:rsidR="008008CD" w:rsidRPr="00F77EA8" w:rsidRDefault="008008CD" w:rsidP="001F446A">
      <w:pPr>
        <w:pStyle w:val="Footnote"/>
        <w:spacing w:after="0"/>
      </w:pPr>
      <w:r w:rsidRPr="00F77EA8">
        <w:rPr>
          <w:rStyle w:val="FootnoteReference"/>
        </w:rPr>
        <w:footnoteRef/>
      </w:r>
      <w:r w:rsidRPr="00F77EA8">
        <w:t xml:space="preserve"> Trustpower originally raised this matter for consideration in its submission on the emerging views paper. </w:t>
      </w:r>
    </w:p>
  </w:footnote>
  <w:footnote w:id="24">
    <w:p w14:paraId="0C735719" w14:textId="3FD3967B" w:rsidR="008008CD" w:rsidRDefault="008008CD" w:rsidP="001F446A">
      <w:pPr>
        <w:pStyle w:val="Footnote"/>
        <w:spacing w:after="0"/>
      </w:pPr>
      <w:r w:rsidRPr="00F77EA8">
        <w:rPr>
          <w:rStyle w:val="FootnoteReference"/>
        </w:rPr>
        <w:footnoteRef/>
      </w:r>
      <w:r w:rsidRPr="00F77EA8">
        <w:t xml:space="preserve"> Refer to: </w:t>
      </w:r>
      <w:hyperlink r:id="rId3" w:history="1">
        <w:r w:rsidRPr="0085389B">
          <w:rPr>
            <w:rStyle w:val="Hyperlink"/>
          </w:rPr>
          <w:t>https://www.oag.govt.nz/2009/electricity-commission/part2.htm</w:t>
        </w:r>
      </w:hyperlink>
      <w:r>
        <w:t xml:space="preserve"> </w:t>
      </w:r>
    </w:p>
  </w:footnote>
  <w:footnote w:id="25">
    <w:p w14:paraId="58C1A096" w14:textId="256273E1" w:rsidR="008008CD" w:rsidRPr="000D445F" w:rsidRDefault="008008CD" w:rsidP="001F446A">
      <w:pPr>
        <w:pStyle w:val="Footnote"/>
        <w:spacing w:after="0"/>
      </w:pPr>
      <w:r w:rsidRPr="000D445F">
        <w:rPr>
          <w:rStyle w:val="FootnoteReference"/>
          <w:sz w:val="16"/>
          <w:szCs w:val="16"/>
        </w:rPr>
        <w:footnoteRef/>
      </w:r>
      <w:r w:rsidRPr="000D445F">
        <w:t xml:space="preserve"> </w:t>
      </w:r>
      <w:r>
        <w:t>There will be incentives for larger S</w:t>
      </w:r>
      <w:r w:rsidRPr="000D445F">
        <w:t>hippers to hoard capacity even if there is not anticipated to be physical congestion as it is always possible that an anticipated event which causes congestion could arise, i.e. an unexpected production plant outage.</w:t>
      </w:r>
    </w:p>
  </w:footnote>
  <w:footnote w:id="26">
    <w:p w14:paraId="02AC395F" w14:textId="45B6B25E" w:rsidR="008008CD" w:rsidRPr="000D1750" w:rsidRDefault="008008CD" w:rsidP="001F446A">
      <w:pPr>
        <w:pStyle w:val="FootnoteText"/>
        <w:rPr>
          <w:rFonts w:asciiTheme="minorHAnsi" w:hAnsiTheme="minorHAnsi" w:cstheme="minorHAnsi"/>
        </w:rPr>
      </w:pPr>
      <w:r w:rsidRPr="000D1750">
        <w:rPr>
          <w:rStyle w:val="FootnoteReference"/>
          <w:rFonts w:asciiTheme="minorHAnsi" w:hAnsiTheme="minorHAnsi" w:cstheme="minorHAnsi"/>
        </w:rPr>
        <w:footnoteRef/>
      </w:r>
      <w:r w:rsidRPr="000D1750">
        <w:rPr>
          <w:rFonts w:asciiTheme="minorHAnsi" w:hAnsiTheme="minorHAnsi" w:cstheme="minorHAnsi"/>
        </w:rPr>
        <w:t xml:space="preserve"> Refer to Appendix A, page 16. </w:t>
      </w:r>
    </w:p>
  </w:footnote>
  <w:footnote w:id="27">
    <w:p w14:paraId="74325C63" w14:textId="428D2C9C" w:rsidR="008008CD" w:rsidRPr="008E7D90" w:rsidRDefault="008008CD" w:rsidP="0085389B">
      <w:pPr>
        <w:pStyle w:val="Footnote"/>
      </w:pPr>
      <w:r w:rsidRPr="008E7D90">
        <w:rPr>
          <w:rStyle w:val="FootnoteReference"/>
          <w:sz w:val="16"/>
          <w:szCs w:val="16"/>
        </w:rPr>
        <w:footnoteRef/>
      </w:r>
      <w:r w:rsidRPr="008E7D90">
        <w:t xml:space="preserve"> </w:t>
      </w:r>
      <w:r>
        <w:t>T</w:t>
      </w:r>
      <w:r w:rsidRPr="008E7D90">
        <w:t>he GTAC forms a part of the TSA.</w:t>
      </w:r>
    </w:p>
  </w:footnote>
  <w:footnote w:id="28">
    <w:p w14:paraId="3BEDC75F" w14:textId="76C12F90" w:rsidR="008008CD" w:rsidRPr="009A400E" w:rsidRDefault="008008CD" w:rsidP="00F35806">
      <w:pPr>
        <w:rPr>
          <w:rFonts w:asciiTheme="minorHAnsi" w:eastAsiaTheme="minorHAnsi" w:hAnsiTheme="minorHAnsi" w:cstheme="minorHAnsi"/>
          <w:color w:val="000000"/>
          <w:sz w:val="18"/>
          <w:szCs w:val="18"/>
        </w:rPr>
      </w:pPr>
      <w:r w:rsidRPr="009A400E">
        <w:rPr>
          <w:rStyle w:val="FootnoteReference"/>
          <w:rFonts w:asciiTheme="minorHAnsi" w:hAnsiTheme="minorHAnsi" w:cstheme="minorHAnsi"/>
          <w:sz w:val="18"/>
          <w:szCs w:val="18"/>
        </w:rPr>
        <w:footnoteRef/>
      </w:r>
      <w:r w:rsidRPr="009A400E">
        <w:rPr>
          <w:rFonts w:asciiTheme="minorHAnsi" w:hAnsiTheme="minorHAnsi" w:cstheme="minorHAnsi"/>
          <w:sz w:val="18"/>
          <w:szCs w:val="18"/>
        </w:rPr>
        <w:t xml:space="preserve"> For example an Interconnected Party will have obligations under the GTAC where it is an OBA party. </w:t>
      </w:r>
      <w:r w:rsidRPr="009A400E">
        <w:rPr>
          <w:rFonts w:asciiTheme="minorHAnsi" w:hAnsiTheme="minorHAnsi" w:cstheme="minorHAnsi"/>
          <w:color w:val="000000"/>
          <w:sz w:val="18"/>
          <w:szCs w:val="18"/>
        </w:rPr>
        <w:t>An OBA party is defined in the GTAC as an Interconnected Party at a Receipt Point or Delivery Point where an operational balancing agreement applies. The operating balancing agreement places obligations on an OBA party to identify and manage running mismatches at a Receipt Point or Delivery Point, and is deemed to form part of the Interconnected Par</w:t>
      </w:r>
      <w:r>
        <w:rPr>
          <w:rFonts w:asciiTheme="minorHAnsi" w:hAnsiTheme="minorHAnsi" w:cstheme="minorHAnsi"/>
          <w:color w:val="000000"/>
          <w:sz w:val="18"/>
          <w:szCs w:val="18"/>
        </w:rPr>
        <w:t xml:space="preserve">ty's Interconnection Agreement. </w:t>
      </w:r>
      <w:r w:rsidRPr="009A400E">
        <w:rPr>
          <w:rFonts w:asciiTheme="minorHAnsi" w:hAnsiTheme="minorHAnsi" w:cstheme="minorHAnsi"/>
          <w:color w:val="000000"/>
          <w:sz w:val="18"/>
          <w:szCs w:val="18"/>
        </w:rPr>
        <w:t>Where an Interconnected Party is an OBA Party for the purposes of the GTAC, the provisions of the GTAC (including the powers and obligations) which apply to an OBA Party are deemed to be incorporated into the Interconnection Agreement and the Interconnected Party must comply with those provisions (see section 5.3 of the Interconnection Agreement).</w:t>
      </w:r>
      <w:r>
        <w:rPr>
          <w:rFonts w:asciiTheme="minorHAnsi" w:hAnsiTheme="minorHAnsi" w:cstheme="minorHAnsi"/>
          <w:color w:val="000000"/>
          <w:sz w:val="18"/>
          <w:szCs w:val="18"/>
        </w:rPr>
        <w:t xml:space="preserve"> We note that the behaviour of an OBA Party directly affects First Gas’ management of the transmission system. </w:t>
      </w:r>
    </w:p>
  </w:footnote>
  <w:footnote w:id="29">
    <w:p w14:paraId="46B07386" w14:textId="71B9E910" w:rsidR="008008CD" w:rsidRPr="0037086D" w:rsidRDefault="008008CD" w:rsidP="001F446A">
      <w:pPr>
        <w:pStyle w:val="Footnote"/>
        <w:spacing w:after="0"/>
      </w:pPr>
      <w:r w:rsidRPr="0037086D">
        <w:rPr>
          <w:rStyle w:val="FootnoteReference"/>
          <w:sz w:val="16"/>
          <w:szCs w:val="16"/>
        </w:rPr>
        <w:footnoteRef/>
      </w:r>
      <w:r w:rsidRPr="0037086D">
        <w:t xml:space="preserve"> </w:t>
      </w:r>
      <w:r>
        <w:t>M</w:t>
      </w:r>
      <w:r w:rsidRPr="0037086D">
        <w:t xml:space="preserve">arket power abuse can be both directly monitored by an independent </w:t>
      </w:r>
      <w:r>
        <w:t>compliance body and by industry</w:t>
      </w:r>
      <w:r w:rsidRPr="0037086D">
        <w:t xml:space="preserve"> participants themselves (who can then report an</w:t>
      </w:r>
      <w:r>
        <w:t>y concerns to the compliance body)</w:t>
      </w:r>
      <w:r w:rsidRPr="0037086D">
        <w:t xml:space="preserve">. The independent </w:t>
      </w:r>
      <w:r>
        <w:t>compliance body</w:t>
      </w:r>
      <w:r w:rsidRPr="0037086D">
        <w:t xml:space="preserve"> may also be able to obtain additional information directly from parties to aid in any investigation. </w:t>
      </w:r>
    </w:p>
  </w:footnote>
  <w:footnote w:id="30">
    <w:p w14:paraId="7A4CB2F8" w14:textId="77777777" w:rsidR="008008CD" w:rsidRPr="00370F15" w:rsidRDefault="008008CD" w:rsidP="001F446A">
      <w:pPr>
        <w:pStyle w:val="Footnote"/>
        <w:spacing w:after="0"/>
      </w:pPr>
      <w:r w:rsidRPr="00370F15">
        <w:rPr>
          <w:rStyle w:val="FootnoteReference"/>
          <w:sz w:val="16"/>
          <w:szCs w:val="16"/>
        </w:rPr>
        <w:footnoteRef/>
      </w:r>
      <w:r w:rsidRPr="00370F15">
        <w:t xml:space="preserve"> This would capture planned outages.</w:t>
      </w:r>
    </w:p>
  </w:footnote>
  <w:footnote w:id="31">
    <w:p w14:paraId="6B7AC562" w14:textId="6E310172" w:rsidR="008008CD" w:rsidRPr="00370F15" w:rsidRDefault="008008CD" w:rsidP="001F446A">
      <w:pPr>
        <w:pStyle w:val="Footnote"/>
        <w:spacing w:after="0"/>
      </w:pPr>
      <w:r w:rsidRPr="00370F15">
        <w:rPr>
          <w:rStyle w:val="FootnoteReference"/>
          <w:sz w:val="16"/>
          <w:szCs w:val="16"/>
        </w:rPr>
        <w:footnoteRef/>
      </w:r>
      <w:r w:rsidRPr="00370F15">
        <w:t xml:space="preserve"> </w:t>
      </w:r>
      <w:r>
        <w:t>A</w:t>
      </w:r>
      <w:r w:rsidRPr="00370F15">
        <w:t xml:space="preserve"> recent rule change request will seek to move the information published on the east coast GBB to align with the greater transparency provided by the west coast GBB: </w:t>
      </w:r>
      <w:hyperlink r:id="rId4" w:history="1">
        <w:r w:rsidRPr="00370F15">
          <w:rPr>
            <w:rStyle w:val="Hyperlink"/>
            <w:sz w:val="16"/>
            <w:szCs w:val="16"/>
          </w:rPr>
          <w:t>http://www.aemc.gov.au/News-Center/What-s-New/Announcements/AEMC-fast-tracks-rule-change-request-to-improve-Ga</w:t>
        </w:r>
      </w:hyperlink>
      <w:r w:rsidRPr="00370F15">
        <w:t xml:space="preserve"> </w:t>
      </w:r>
    </w:p>
  </w:footnote>
  <w:footnote w:id="32">
    <w:p w14:paraId="0977733E" w14:textId="3435E3E7" w:rsidR="008008CD" w:rsidRPr="00164F79" w:rsidRDefault="008008CD" w:rsidP="00714B50">
      <w:pPr>
        <w:pStyle w:val="Footnote"/>
        <w:spacing w:after="0"/>
      </w:pPr>
      <w:r w:rsidRPr="00011FE6">
        <w:rPr>
          <w:rStyle w:val="FootnoteReference"/>
        </w:rPr>
        <w:footnoteRef/>
      </w:r>
      <w:r>
        <w:t xml:space="preserve"> The </w:t>
      </w:r>
      <w:r w:rsidRPr="00011FE6">
        <w:t xml:space="preserve">enormity of the issues associated with Priority Rights may mean that they cannot be addressed during any </w:t>
      </w:r>
      <w:r w:rsidRPr="00164F79">
        <w:t>additional delay to implementing the GTAC in its entirety which is less than 12 months in length.</w:t>
      </w:r>
    </w:p>
  </w:footnote>
  <w:footnote w:id="33">
    <w:p w14:paraId="35DFC65A" w14:textId="33987514" w:rsidR="008008CD" w:rsidRDefault="008008CD" w:rsidP="00714B50">
      <w:pPr>
        <w:pStyle w:val="FootnoteText"/>
      </w:pPr>
      <w:r w:rsidRPr="00164F79">
        <w:rPr>
          <w:rStyle w:val="FootnoteReference"/>
          <w:rFonts w:asciiTheme="minorHAnsi" w:hAnsiTheme="minorHAnsi" w:cstheme="minorHAnsi"/>
        </w:rPr>
        <w:footnoteRef/>
      </w:r>
      <w:r w:rsidRPr="00164F79">
        <w:rPr>
          <w:rFonts w:asciiTheme="minorHAnsi" w:hAnsiTheme="minorHAnsi" w:cstheme="minorHAnsi"/>
        </w:rPr>
        <w:t xml:space="preserve"> </w:t>
      </w:r>
      <w:r>
        <w:rPr>
          <w:rFonts w:asciiTheme="minorHAnsi" w:hAnsiTheme="minorHAnsi" w:cstheme="minorHAnsi"/>
        </w:rPr>
        <w:t>This</w:t>
      </w:r>
      <w:r w:rsidRPr="00164F79">
        <w:rPr>
          <w:rFonts w:asciiTheme="minorHAnsi" w:hAnsiTheme="minorHAnsi" w:cstheme="minorHAnsi"/>
        </w:rPr>
        <w:t xml:space="preserve"> will also require consideration if Priority Rights are removed from the GTAC at this stage and progressed separately.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A2596" w14:textId="77777777" w:rsidR="008008CD" w:rsidRPr="003A658B" w:rsidRDefault="008008CD" w:rsidP="003A658B">
    <w:pPr>
      <w:pStyle w:val="Header"/>
      <w:tabs>
        <w:tab w:val="clear" w:pos="4320"/>
        <w:tab w:val="clear" w:pos="8640"/>
        <w:tab w:val="center" w:pos="4961"/>
        <w:tab w:val="right" w:pos="9922"/>
      </w:tabs>
      <w:rPr>
        <w:szCs w:val="16"/>
      </w:rPr>
    </w:pPr>
    <w:r w:rsidRPr="003A658B">
      <w:rPr>
        <w:szCs w:val="16"/>
      </w:rPr>
      <w:tab/>
    </w:r>
    <w:r w:rsidRPr="003A658B">
      <w:rPr>
        <w:szCs w:val="16"/>
      </w:rPr>
      <w:tab/>
    </w:r>
  </w:p>
  <w:p w14:paraId="3AB0A7CF" w14:textId="77777777" w:rsidR="008008CD" w:rsidRDefault="008008C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B44B2" w14:textId="77777777" w:rsidR="008008CD" w:rsidRPr="003A658B" w:rsidRDefault="008008CD" w:rsidP="00423CA0">
    <w:pPr>
      <w:pStyle w:val="Header"/>
      <w:tabs>
        <w:tab w:val="clear" w:pos="4320"/>
        <w:tab w:val="clear" w:pos="8640"/>
        <w:tab w:val="center" w:pos="4961"/>
        <w:tab w:val="right" w:pos="9922"/>
      </w:tabs>
      <w:ind w:right="-568"/>
      <w:rPr>
        <w:szCs w:val="16"/>
      </w:rPr>
    </w:pPr>
    <w:r>
      <w:rPr>
        <w:noProof/>
        <w:szCs w:val="16"/>
        <w:lang w:eastAsia="en-NZ"/>
      </w:rPr>
      <w:drawing>
        <wp:anchor distT="0" distB="0" distL="114300" distR="114300" simplePos="0" relativeHeight="251656192" behindDoc="0" locked="0" layoutInCell="1" allowOverlap="1" wp14:anchorId="4461984E" wp14:editId="6F1CBF07">
          <wp:simplePos x="0" y="0"/>
          <wp:positionH relativeFrom="column">
            <wp:posOffset>5891274</wp:posOffset>
          </wp:positionH>
          <wp:positionV relativeFrom="paragraph">
            <wp:posOffset>-260350</wp:posOffset>
          </wp:positionV>
          <wp:extent cx="604520" cy="563245"/>
          <wp:effectExtent l="0" t="0" r="5080" b="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52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58B">
      <w:rPr>
        <w:szCs w:val="16"/>
      </w:rPr>
      <w:tab/>
    </w:r>
    <w:r w:rsidRPr="003A658B">
      <w:rPr>
        <w:szCs w:val="16"/>
      </w:rPr>
      <w:tab/>
    </w:r>
  </w:p>
  <w:p w14:paraId="23670E5F" w14:textId="77777777" w:rsidR="008008CD" w:rsidRDefault="008008C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7B277" w14:textId="77777777" w:rsidR="008008CD" w:rsidRPr="003A658B" w:rsidRDefault="008008CD" w:rsidP="00423CA0">
    <w:pPr>
      <w:pStyle w:val="Header"/>
      <w:tabs>
        <w:tab w:val="clear" w:pos="4320"/>
        <w:tab w:val="clear" w:pos="8640"/>
        <w:tab w:val="center" w:pos="4961"/>
        <w:tab w:val="right" w:pos="9922"/>
      </w:tabs>
      <w:ind w:right="-568"/>
      <w:rPr>
        <w:szCs w:val="16"/>
      </w:rPr>
    </w:pPr>
    <w:r>
      <w:rPr>
        <w:noProof/>
        <w:szCs w:val="16"/>
        <w:lang w:eastAsia="en-NZ"/>
      </w:rPr>
      <w:drawing>
        <wp:anchor distT="0" distB="0" distL="114300" distR="114300" simplePos="0" relativeHeight="251662336" behindDoc="0" locked="0" layoutInCell="1" allowOverlap="1" wp14:anchorId="3CD94F74" wp14:editId="77C9DBCC">
          <wp:simplePos x="0" y="0"/>
          <wp:positionH relativeFrom="column">
            <wp:posOffset>8923655</wp:posOffset>
          </wp:positionH>
          <wp:positionV relativeFrom="paragraph">
            <wp:posOffset>-222250</wp:posOffset>
          </wp:positionV>
          <wp:extent cx="604520" cy="563245"/>
          <wp:effectExtent l="0" t="0" r="508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52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58B">
      <w:rPr>
        <w:szCs w:val="16"/>
      </w:rPr>
      <w:tab/>
    </w:r>
    <w:r w:rsidRPr="003A658B">
      <w:rPr>
        <w:szCs w:val="16"/>
      </w:rPr>
      <w:tab/>
    </w:r>
  </w:p>
  <w:p w14:paraId="44E65267" w14:textId="77777777" w:rsidR="008008CD" w:rsidRDefault="008008C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8F392" w14:textId="77777777" w:rsidR="008008CD" w:rsidRPr="003A658B" w:rsidRDefault="008008CD" w:rsidP="00423CA0">
    <w:pPr>
      <w:pStyle w:val="Header"/>
      <w:tabs>
        <w:tab w:val="clear" w:pos="4320"/>
        <w:tab w:val="clear" w:pos="8640"/>
        <w:tab w:val="center" w:pos="4961"/>
        <w:tab w:val="right" w:pos="9922"/>
      </w:tabs>
      <w:ind w:right="-568"/>
      <w:rPr>
        <w:szCs w:val="16"/>
      </w:rPr>
    </w:pPr>
    <w:r>
      <w:rPr>
        <w:noProof/>
        <w:szCs w:val="16"/>
        <w:lang w:eastAsia="en-NZ"/>
      </w:rPr>
      <w:drawing>
        <wp:anchor distT="0" distB="0" distL="114300" distR="114300" simplePos="0" relativeHeight="251668480" behindDoc="0" locked="0" layoutInCell="1" allowOverlap="1" wp14:anchorId="311534FD" wp14:editId="159E9E03">
          <wp:simplePos x="0" y="0"/>
          <wp:positionH relativeFrom="column">
            <wp:posOffset>9016611</wp:posOffset>
          </wp:positionH>
          <wp:positionV relativeFrom="paragraph">
            <wp:posOffset>-260350</wp:posOffset>
          </wp:positionV>
          <wp:extent cx="604520" cy="563245"/>
          <wp:effectExtent l="0" t="0" r="5080"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52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58B">
      <w:rPr>
        <w:szCs w:val="16"/>
      </w:rPr>
      <w:tab/>
    </w:r>
    <w:r w:rsidRPr="003A658B">
      <w:rPr>
        <w:szCs w:val="16"/>
      </w:rPr>
      <w:tab/>
    </w:r>
  </w:p>
  <w:p w14:paraId="3C350241" w14:textId="77777777" w:rsidR="008008CD" w:rsidRDefault="008008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6146"/>
    <w:multiLevelType w:val="multilevel"/>
    <w:tmpl w:val="C030A74E"/>
    <w:numStyleLink w:val="QAnumbering"/>
  </w:abstractNum>
  <w:abstractNum w:abstractNumId="1" w15:restartNumberingAfterBreak="0">
    <w:nsid w:val="06244D65"/>
    <w:multiLevelType w:val="hybridMultilevel"/>
    <w:tmpl w:val="B3623E74"/>
    <w:lvl w:ilvl="0" w:tplc="14090001">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114237"/>
    <w:multiLevelType w:val="hybridMultilevel"/>
    <w:tmpl w:val="253847CC"/>
    <w:lvl w:ilvl="0" w:tplc="4D08C0B0">
      <w:start w:val="1"/>
      <w:numFmt w:val="upperLetter"/>
      <w:pStyle w:val="DeedAttachment"/>
      <w:lvlText w:val="Attachment %1 "/>
      <w:lvlJc w:val="left"/>
      <w:pPr>
        <w:tabs>
          <w:tab w:val="num" w:pos="284"/>
        </w:tabs>
        <w:ind w:left="2268" w:hanging="1908"/>
      </w:pPr>
      <w:rPr>
        <w:rFonts w:hint="default"/>
      </w:rPr>
    </w:lvl>
    <w:lvl w:ilvl="1" w:tplc="D3749BA0" w:tentative="1">
      <w:start w:val="1"/>
      <w:numFmt w:val="lowerLetter"/>
      <w:lvlText w:val="%2."/>
      <w:lvlJc w:val="left"/>
      <w:pPr>
        <w:tabs>
          <w:tab w:val="num" w:pos="1440"/>
        </w:tabs>
        <w:ind w:left="1440" w:hanging="360"/>
      </w:pPr>
    </w:lvl>
    <w:lvl w:ilvl="2" w:tplc="F2D0C7CA" w:tentative="1">
      <w:start w:val="1"/>
      <w:numFmt w:val="lowerRoman"/>
      <w:lvlText w:val="%3."/>
      <w:lvlJc w:val="right"/>
      <w:pPr>
        <w:tabs>
          <w:tab w:val="num" w:pos="2160"/>
        </w:tabs>
        <w:ind w:left="2160" w:hanging="180"/>
      </w:pPr>
    </w:lvl>
    <w:lvl w:ilvl="3" w:tplc="074C616E" w:tentative="1">
      <w:start w:val="1"/>
      <w:numFmt w:val="decimal"/>
      <w:lvlText w:val="%4."/>
      <w:lvlJc w:val="left"/>
      <w:pPr>
        <w:tabs>
          <w:tab w:val="num" w:pos="2880"/>
        </w:tabs>
        <w:ind w:left="2880" w:hanging="360"/>
      </w:pPr>
    </w:lvl>
    <w:lvl w:ilvl="4" w:tplc="4680FF7E" w:tentative="1">
      <w:start w:val="1"/>
      <w:numFmt w:val="lowerLetter"/>
      <w:lvlText w:val="%5."/>
      <w:lvlJc w:val="left"/>
      <w:pPr>
        <w:tabs>
          <w:tab w:val="num" w:pos="3600"/>
        </w:tabs>
        <w:ind w:left="3600" w:hanging="360"/>
      </w:pPr>
    </w:lvl>
    <w:lvl w:ilvl="5" w:tplc="42263844" w:tentative="1">
      <w:start w:val="1"/>
      <w:numFmt w:val="lowerRoman"/>
      <w:lvlText w:val="%6."/>
      <w:lvlJc w:val="right"/>
      <w:pPr>
        <w:tabs>
          <w:tab w:val="num" w:pos="4320"/>
        </w:tabs>
        <w:ind w:left="4320" w:hanging="180"/>
      </w:pPr>
    </w:lvl>
    <w:lvl w:ilvl="6" w:tplc="D6B2211E" w:tentative="1">
      <w:start w:val="1"/>
      <w:numFmt w:val="decimal"/>
      <w:lvlText w:val="%7."/>
      <w:lvlJc w:val="left"/>
      <w:pPr>
        <w:tabs>
          <w:tab w:val="num" w:pos="5040"/>
        </w:tabs>
        <w:ind w:left="5040" w:hanging="360"/>
      </w:pPr>
    </w:lvl>
    <w:lvl w:ilvl="7" w:tplc="FF3C2382" w:tentative="1">
      <w:start w:val="1"/>
      <w:numFmt w:val="lowerLetter"/>
      <w:lvlText w:val="%8."/>
      <w:lvlJc w:val="left"/>
      <w:pPr>
        <w:tabs>
          <w:tab w:val="num" w:pos="5760"/>
        </w:tabs>
        <w:ind w:left="5760" w:hanging="360"/>
      </w:pPr>
    </w:lvl>
    <w:lvl w:ilvl="8" w:tplc="9E022F78" w:tentative="1">
      <w:start w:val="1"/>
      <w:numFmt w:val="lowerRoman"/>
      <w:lvlText w:val="%9."/>
      <w:lvlJc w:val="right"/>
      <w:pPr>
        <w:tabs>
          <w:tab w:val="num" w:pos="6480"/>
        </w:tabs>
        <w:ind w:left="6480" w:hanging="180"/>
      </w:pPr>
    </w:lvl>
  </w:abstractNum>
  <w:abstractNum w:abstractNumId="3" w15:restartNumberingAfterBreak="0">
    <w:nsid w:val="0B346C8B"/>
    <w:multiLevelType w:val="multilevel"/>
    <w:tmpl w:val="76C830DE"/>
    <w:lvl w:ilvl="0">
      <w:start w:val="1"/>
      <w:numFmt w:val="upperLetter"/>
      <w:pStyle w:val="BalloonText"/>
      <w:lvlText w:val="%1."/>
      <w:lvlJc w:val="left"/>
      <w:pPr>
        <w:tabs>
          <w:tab w:val="num" w:pos="851"/>
        </w:tabs>
        <w:ind w:left="851" w:hanging="851"/>
      </w:pPr>
    </w:lvl>
    <w:lvl w:ilvl="1">
      <w:start w:val="1"/>
      <w:numFmt w:val="decimal"/>
      <w:pStyle w:val="DocumentMap"/>
      <w:lvlText w:val="%2."/>
      <w:lvlJc w:val="left"/>
      <w:pPr>
        <w:tabs>
          <w:tab w:val="num" w:pos="1701"/>
        </w:tabs>
        <w:ind w:left="1701" w:hanging="850"/>
      </w:pPr>
    </w:lvl>
    <w:lvl w:ilvl="2">
      <w:start w:val="1"/>
      <w:numFmt w:val="lowerLetter"/>
      <w:pStyle w:val="Legal8"/>
      <w:lvlText w:val="(%3)"/>
      <w:lvlJc w:val="left"/>
      <w:pPr>
        <w:tabs>
          <w:tab w:val="num" w:pos="2552"/>
        </w:tabs>
        <w:ind w:left="2552" w:hanging="851"/>
      </w:pPr>
    </w:lvl>
    <w:lvl w:ilvl="3">
      <w:start w:val="1"/>
      <w:numFmt w:val="lowerRoman"/>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4" w15:restartNumberingAfterBreak="0">
    <w:nsid w:val="0ED373DD"/>
    <w:multiLevelType w:val="hybridMultilevel"/>
    <w:tmpl w:val="8B909122"/>
    <w:lvl w:ilvl="0" w:tplc="56E4DF8C">
      <w:numFmt w:val="bullet"/>
      <w:lvlText w:val=""/>
      <w:lvlJc w:val="left"/>
      <w:pPr>
        <w:ind w:left="720" w:hanging="360"/>
      </w:pPr>
      <w:rPr>
        <w:rFonts w:ascii="Wingdings" w:eastAsia="Times New Roman" w:hAnsi="Wingdings" w:cs="Arial" w:hint="default"/>
        <w:b/>
        <w:sz w:val="1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572BE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B4A148A"/>
    <w:multiLevelType w:val="multilevel"/>
    <w:tmpl w:val="E4122EB2"/>
    <w:lvl w:ilvl="0">
      <w:start w:val="1"/>
      <w:numFmt w:val="lowerLetter"/>
      <w:pStyle w:val="Numberedsubparagraph"/>
      <w:lvlText w:val="%1)"/>
      <w:lvlJc w:val="left"/>
      <w:pPr>
        <w:ind w:left="1352" w:hanging="360"/>
      </w:pPr>
      <w:rPr>
        <w:rFonts w:hint="default"/>
        <w:b w:val="0"/>
      </w:rPr>
    </w:lvl>
    <w:lvl w:ilvl="1">
      <w:start w:val="1"/>
      <w:numFmt w:val="bullet"/>
      <w:lvlText w:val=""/>
      <w:lvlJc w:val="left"/>
      <w:pPr>
        <w:ind w:left="2072" w:hanging="360"/>
      </w:pPr>
      <w:rPr>
        <w:rFonts w:ascii="Symbol" w:hAnsi="Symbol" w:hint="default"/>
      </w:rPr>
    </w:lvl>
    <w:lvl w:ilvl="2">
      <w:start w:val="1"/>
      <w:numFmt w:val="bullet"/>
      <w:lvlText w:val=""/>
      <w:lvlJc w:val="left"/>
      <w:pPr>
        <w:ind w:left="2792" w:hanging="360"/>
      </w:pPr>
      <w:rPr>
        <w:rFonts w:ascii="Wingdings" w:hAnsi="Wingdings" w:hint="default"/>
      </w:rPr>
    </w:lvl>
    <w:lvl w:ilvl="3" w:tentative="1">
      <w:start w:val="1"/>
      <w:numFmt w:val="bullet"/>
      <w:lvlText w:val=""/>
      <w:lvlJc w:val="left"/>
      <w:pPr>
        <w:ind w:left="3512" w:hanging="360"/>
      </w:pPr>
      <w:rPr>
        <w:rFonts w:ascii="Symbol" w:hAnsi="Symbol" w:hint="default"/>
      </w:rPr>
    </w:lvl>
    <w:lvl w:ilvl="4" w:tentative="1">
      <w:start w:val="1"/>
      <w:numFmt w:val="bullet"/>
      <w:lvlText w:val="o"/>
      <w:lvlJc w:val="left"/>
      <w:pPr>
        <w:ind w:left="4232" w:hanging="360"/>
      </w:pPr>
      <w:rPr>
        <w:rFonts w:ascii="Courier New" w:hAnsi="Courier New" w:cs="Courier New" w:hint="default"/>
      </w:rPr>
    </w:lvl>
    <w:lvl w:ilvl="5" w:tentative="1">
      <w:start w:val="1"/>
      <w:numFmt w:val="bullet"/>
      <w:lvlText w:val=""/>
      <w:lvlJc w:val="left"/>
      <w:pPr>
        <w:ind w:left="4952" w:hanging="360"/>
      </w:pPr>
      <w:rPr>
        <w:rFonts w:ascii="Wingdings" w:hAnsi="Wingdings" w:hint="default"/>
      </w:rPr>
    </w:lvl>
    <w:lvl w:ilvl="6" w:tentative="1">
      <w:start w:val="1"/>
      <w:numFmt w:val="bullet"/>
      <w:lvlText w:val=""/>
      <w:lvlJc w:val="left"/>
      <w:pPr>
        <w:ind w:left="5672" w:hanging="360"/>
      </w:pPr>
      <w:rPr>
        <w:rFonts w:ascii="Symbol" w:hAnsi="Symbol" w:hint="default"/>
      </w:rPr>
    </w:lvl>
    <w:lvl w:ilvl="7" w:tentative="1">
      <w:start w:val="1"/>
      <w:numFmt w:val="bullet"/>
      <w:lvlText w:val="o"/>
      <w:lvlJc w:val="left"/>
      <w:pPr>
        <w:ind w:left="6392" w:hanging="360"/>
      </w:pPr>
      <w:rPr>
        <w:rFonts w:ascii="Courier New" w:hAnsi="Courier New" w:cs="Courier New" w:hint="default"/>
      </w:rPr>
    </w:lvl>
    <w:lvl w:ilvl="8" w:tentative="1">
      <w:start w:val="1"/>
      <w:numFmt w:val="bullet"/>
      <w:lvlText w:val=""/>
      <w:lvlJc w:val="left"/>
      <w:pPr>
        <w:ind w:left="7112" w:hanging="360"/>
      </w:pPr>
      <w:rPr>
        <w:rFonts w:ascii="Wingdings" w:hAnsi="Wingdings" w:hint="default"/>
      </w:rPr>
    </w:lvl>
  </w:abstractNum>
  <w:abstractNum w:abstractNumId="7" w15:restartNumberingAfterBreak="0">
    <w:nsid w:val="1D9C1B0D"/>
    <w:multiLevelType w:val="multilevel"/>
    <w:tmpl w:val="80CEE6F2"/>
    <w:lvl w:ilvl="0">
      <w:start w:val="1"/>
      <w:numFmt w:val="decimal"/>
      <w:pStyle w:val="Outline1Heading"/>
      <w:lvlText w:val="%1."/>
      <w:lvlJc w:val="left"/>
      <w:pPr>
        <w:tabs>
          <w:tab w:val="num" w:pos="567"/>
        </w:tabs>
        <w:ind w:left="567" w:hanging="567"/>
      </w:pPr>
      <w:rPr>
        <w:rFonts w:hint="default"/>
      </w:rPr>
    </w:lvl>
    <w:lvl w:ilvl="1">
      <w:start w:val="1"/>
      <w:numFmt w:val="decimal"/>
      <w:pStyle w:val="Outline1"/>
      <w:lvlText w:val="%1.%2"/>
      <w:lvlJc w:val="left"/>
      <w:pPr>
        <w:tabs>
          <w:tab w:val="num" w:pos="567"/>
        </w:tabs>
        <w:ind w:left="567" w:hanging="567"/>
      </w:pPr>
      <w:rPr>
        <w:rFonts w:hint="default"/>
      </w:rPr>
    </w:lvl>
    <w:lvl w:ilvl="2">
      <w:start w:val="1"/>
      <w:numFmt w:val="bullet"/>
      <w:lvlText w:val=""/>
      <w:lvlJc w:val="left"/>
      <w:pPr>
        <w:ind w:left="927" w:hanging="360"/>
      </w:pPr>
      <w:rPr>
        <w:rFonts w:ascii="Symbol" w:hAnsi="Symbol"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1"/>
      <w:numFmt w:val="none"/>
      <w:lvlText w:val=""/>
      <w:lvlJc w:val="left"/>
      <w:pPr>
        <w:tabs>
          <w:tab w:val="num" w:pos="1211"/>
        </w:tabs>
        <w:ind w:left="851" w:firstLine="0"/>
      </w:pPr>
      <w:rPr>
        <w:rFonts w:hint="default"/>
      </w:rPr>
    </w:lvl>
    <w:lvl w:ilvl="6">
      <w:start w:val="1"/>
      <w:numFmt w:val="none"/>
      <w:lvlText w:val=""/>
      <w:lvlJc w:val="left"/>
      <w:pPr>
        <w:tabs>
          <w:tab w:val="num" w:pos="1211"/>
        </w:tabs>
        <w:ind w:left="851" w:firstLine="0"/>
      </w:pPr>
      <w:rPr>
        <w:rFonts w:hint="default"/>
      </w:rPr>
    </w:lvl>
    <w:lvl w:ilvl="7">
      <w:start w:val="1"/>
      <w:numFmt w:val="none"/>
      <w:lvlText w:val=""/>
      <w:lvlJc w:val="left"/>
      <w:pPr>
        <w:tabs>
          <w:tab w:val="num" w:pos="1211"/>
        </w:tabs>
        <w:ind w:left="851" w:firstLine="0"/>
      </w:pPr>
      <w:rPr>
        <w:rFonts w:hint="default"/>
      </w:rPr>
    </w:lvl>
    <w:lvl w:ilvl="8">
      <w:start w:val="1"/>
      <w:numFmt w:val="none"/>
      <w:lvlText w:val=""/>
      <w:lvlJc w:val="left"/>
      <w:pPr>
        <w:tabs>
          <w:tab w:val="num" w:pos="1211"/>
        </w:tabs>
        <w:ind w:left="851" w:firstLine="0"/>
      </w:pPr>
      <w:rPr>
        <w:rFonts w:hint="default"/>
      </w:rPr>
    </w:lvl>
  </w:abstractNum>
  <w:abstractNum w:abstractNumId="8" w15:restartNumberingAfterBreak="0">
    <w:nsid w:val="1FE9597D"/>
    <w:multiLevelType w:val="multilevel"/>
    <w:tmpl w:val="65A84AB0"/>
    <w:lvl w:ilvl="0">
      <w:start w:val="1"/>
      <w:numFmt w:val="decimal"/>
      <w:pStyle w:val="Appendixnumbering"/>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277599B"/>
    <w:multiLevelType w:val="hybridMultilevel"/>
    <w:tmpl w:val="A99C4860"/>
    <w:lvl w:ilvl="0" w:tplc="8FA078B6">
      <w:start w:val="29"/>
      <w:numFmt w:val="bullet"/>
      <w:lvlText w:val=""/>
      <w:lvlJc w:val="left"/>
      <w:pPr>
        <w:ind w:left="720" w:hanging="360"/>
      </w:pPr>
      <w:rPr>
        <w:rFonts w:ascii="Wingdings" w:eastAsia="Times New Roman" w:hAnsi="Wing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B22D9E"/>
    <w:multiLevelType w:val="hybridMultilevel"/>
    <w:tmpl w:val="0CA2ED20"/>
    <w:lvl w:ilvl="0" w:tplc="C4B6EE64">
      <w:numFmt w:val="bullet"/>
      <w:lvlText w:val=""/>
      <w:lvlJc w:val="left"/>
      <w:pPr>
        <w:ind w:left="720" w:hanging="360"/>
      </w:pPr>
      <w:rPr>
        <w:rFonts w:ascii="Wingdings" w:eastAsia="Times New Roman"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BF3509F"/>
    <w:multiLevelType w:val="hybridMultilevel"/>
    <w:tmpl w:val="0218D05A"/>
    <w:lvl w:ilvl="0" w:tplc="04CC4834">
      <w:start w:val="1"/>
      <w:numFmt w:val="bullet"/>
      <w:pStyle w:val="Emai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4C0B63"/>
    <w:multiLevelType w:val="multilevel"/>
    <w:tmpl w:val="1A381556"/>
    <w:lvl w:ilvl="0">
      <w:start w:val="1"/>
      <w:numFmt w:val="decimal"/>
      <w:pStyle w:val="Heading1"/>
      <w:lvlText w:val="%1"/>
      <w:lvlJc w:val="left"/>
      <w:pPr>
        <w:tabs>
          <w:tab w:val="num" w:pos="992"/>
        </w:tabs>
        <w:ind w:left="992" w:hanging="992"/>
      </w:pPr>
      <w:rPr>
        <w:rFonts w:cs="Times New Roman" w:hint="default"/>
        <w:b/>
        <w:bCs w:val="0"/>
        <w:i w:val="0"/>
        <w:iCs w:val="0"/>
        <w:caps w:val="0"/>
        <w:smallCaps w:val="0"/>
        <w:strike w:val="0"/>
        <w:dstrike w:val="0"/>
        <w:vanish w:val="0"/>
        <w:color w:val="7030A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2"/>
        </w:tabs>
        <w:ind w:left="992" w:hanging="992"/>
      </w:pPr>
      <w:rPr>
        <w:rFonts w:cs="Times New Roman" w:hint="default"/>
        <w:b/>
        <w:bCs w:val="0"/>
        <w:i w:val="0"/>
        <w:iCs w:val="0"/>
        <w:caps w:val="0"/>
        <w:smallCaps w:val="0"/>
        <w:strike w:val="0"/>
        <w:dstrike w:val="0"/>
        <w:vanish w:val="0"/>
        <w:color w:val="7F1399"/>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992"/>
        </w:tabs>
        <w:ind w:left="992"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992"/>
        </w:tabs>
        <w:ind w:left="992" w:hanging="992"/>
      </w:pPr>
      <w:rPr>
        <w:rFonts w:hint="default"/>
        <w:b w:val="0"/>
        <w:i w:val="0"/>
      </w:rPr>
    </w:lvl>
    <w:lvl w:ilvl="4">
      <w:start w:val="1"/>
      <w:numFmt w:val="lowerLetter"/>
      <w:pStyle w:val="Heading5"/>
      <w:lvlText w:val="(%5)"/>
      <w:lvlJc w:val="left"/>
      <w:pPr>
        <w:tabs>
          <w:tab w:val="num" w:pos="1701"/>
        </w:tabs>
        <w:ind w:left="1701" w:hanging="709"/>
      </w:pPr>
      <w:rPr>
        <w:rFonts w:hint="default"/>
      </w:rPr>
    </w:lvl>
    <w:lvl w:ilvl="5">
      <w:start w:val="1"/>
      <w:numFmt w:val="lowerRoman"/>
      <w:pStyle w:val="Heading6"/>
      <w:lvlText w:val="(%6)"/>
      <w:lvlJc w:val="left"/>
      <w:pPr>
        <w:tabs>
          <w:tab w:val="num" w:pos="2410"/>
        </w:tabs>
        <w:ind w:left="2410" w:hanging="709"/>
      </w:pPr>
      <w:rPr>
        <w:rFonts w:hint="default"/>
      </w:rPr>
    </w:lvl>
    <w:lvl w:ilvl="6">
      <w:start w:val="1"/>
      <w:numFmt w:val="upperLetter"/>
      <w:pStyle w:val="Heading7"/>
      <w:lvlText w:val="(%7)"/>
      <w:lvlJc w:val="left"/>
      <w:pPr>
        <w:tabs>
          <w:tab w:val="num" w:pos="3119"/>
        </w:tabs>
        <w:ind w:left="3119" w:hanging="709"/>
      </w:pPr>
      <w:rPr>
        <w:rFonts w:hint="default"/>
      </w:rPr>
    </w:lvl>
    <w:lvl w:ilvl="7">
      <w:start w:val="1"/>
      <w:numFmt w:val="upperRoman"/>
      <w:pStyle w:val="Heading8"/>
      <w:lvlText w:val="(%8)"/>
      <w:lvlJc w:val="left"/>
      <w:pPr>
        <w:tabs>
          <w:tab w:val="num" w:pos="3827"/>
        </w:tabs>
        <w:ind w:left="3827" w:hanging="708"/>
      </w:pPr>
      <w:rPr>
        <w:rFonts w:hint="default"/>
      </w:rPr>
    </w:lvl>
    <w:lvl w:ilvl="8">
      <w:start w:val="1"/>
      <w:numFmt w:val="lowerLetter"/>
      <w:pStyle w:val="Heading9"/>
      <w:lvlText w:val="%9."/>
      <w:lvlJc w:val="left"/>
      <w:pPr>
        <w:tabs>
          <w:tab w:val="num" w:pos="4536"/>
        </w:tabs>
        <w:ind w:left="4536" w:hanging="709"/>
      </w:pPr>
      <w:rPr>
        <w:rFonts w:hint="default"/>
      </w:rPr>
    </w:lvl>
  </w:abstractNum>
  <w:abstractNum w:abstractNumId="13" w15:restartNumberingAfterBreak="0">
    <w:nsid w:val="2DA72CDC"/>
    <w:multiLevelType w:val="hybridMultilevel"/>
    <w:tmpl w:val="EE1AD9A0"/>
    <w:lvl w:ilvl="0" w:tplc="1409000F">
      <w:start w:val="1"/>
      <w:numFmt w:val="decimal"/>
      <w:pStyle w:val="Style4"/>
      <w:lvlText w:val="%1."/>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B2AC54">
      <w:start w:val="1"/>
      <w:numFmt w:val="bullet"/>
      <w:pStyle w:val="Crosssubmissionquotesource"/>
      <w:lvlText w:val="─"/>
      <w:lvlJc w:val="left"/>
      <w:pPr>
        <w:ind w:left="7874" w:hanging="360"/>
      </w:pPr>
      <w:rPr>
        <w:rFonts w:ascii="Calibri" w:eastAsia="Times New Roman" w:hAnsi="Calibri" w:hint="default"/>
      </w:r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2EE000E0"/>
    <w:multiLevelType w:val="hybridMultilevel"/>
    <w:tmpl w:val="5BB237FC"/>
    <w:lvl w:ilvl="0" w:tplc="21B0A514">
      <w:start w:val="1"/>
      <w:numFmt w:val="decimal"/>
      <w:pStyle w:val="Numeric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FF0758"/>
    <w:multiLevelType w:val="multilevel"/>
    <w:tmpl w:val="135E7D76"/>
    <w:lvl w:ilvl="0">
      <w:start w:val="1"/>
      <w:numFmt w:val="decimal"/>
      <w:pStyle w:val="Sch1"/>
      <w:lvlText w:val="%1"/>
      <w:lvlJc w:val="left"/>
      <w:pPr>
        <w:tabs>
          <w:tab w:val="num" w:pos="567"/>
        </w:tabs>
        <w:ind w:left="567" w:hanging="567"/>
      </w:pPr>
      <w:rPr>
        <w:rFonts w:hint="default"/>
        <w:color w:val="195988"/>
      </w:rPr>
    </w:lvl>
    <w:lvl w:ilvl="1">
      <w:start w:val="1"/>
      <w:numFmt w:val="decimal"/>
      <w:pStyle w:val="Sch2"/>
      <w:lvlText w:val="%1.%2"/>
      <w:lvlJc w:val="left"/>
      <w:pPr>
        <w:tabs>
          <w:tab w:val="num" w:pos="1134"/>
        </w:tabs>
        <w:ind w:left="1134" w:hanging="567"/>
      </w:pPr>
      <w:rPr>
        <w:rFonts w:hint="default"/>
        <w:b w:val="0"/>
        <w:i w:val="0"/>
      </w:rPr>
    </w:lvl>
    <w:lvl w:ilvl="2">
      <w:start w:val="1"/>
      <w:numFmt w:val="lowerLetter"/>
      <w:pStyle w:val="Sch3"/>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upperLetter"/>
      <w:pStyle w:val="Sch5"/>
      <w:lvlText w:val="(%5)"/>
      <w:lvlJc w:val="left"/>
      <w:pPr>
        <w:tabs>
          <w:tab w:val="num" w:pos="2835"/>
        </w:tabs>
        <w:ind w:left="2835" w:hanging="567"/>
      </w:pPr>
      <w:rPr>
        <w:rFonts w:hint="default"/>
        <w:sz w:val="16"/>
        <w:szCs w:val="16"/>
      </w:rPr>
    </w:lvl>
    <w:lvl w:ilvl="5">
      <w:start w:val="1"/>
      <w:numFmt w:val="none"/>
      <w:lvlText w:val=""/>
      <w:lvlJc w:val="left"/>
      <w:pPr>
        <w:tabs>
          <w:tab w:val="num" w:pos="567"/>
        </w:tabs>
        <w:ind w:left="1701" w:firstLine="0"/>
      </w:pPr>
      <w:rPr>
        <w:rFonts w:hint="default"/>
      </w:rPr>
    </w:lvl>
    <w:lvl w:ilvl="6">
      <w:start w:val="1"/>
      <w:numFmt w:val="none"/>
      <w:lvlText w:val=""/>
      <w:lvlJc w:val="left"/>
      <w:pPr>
        <w:tabs>
          <w:tab w:val="num" w:pos="567"/>
        </w:tabs>
        <w:ind w:left="1701" w:firstLine="0"/>
      </w:pPr>
      <w:rPr>
        <w:rFonts w:hint="default"/>
      </w:rPr>
    </w:lvl>
    <w:lvl w:ilvl="7">
      <w:start w:val="1"/>
      <w:numFmt w:val="none"/>
      <w:lvlText w:val=""/>
      <w:lvlJc w:val="left"/>
      <w:pPr>
        <w:tabs>
          <w:tab w:val="num" w:pos="567"/>
        </w:tabs>
        <w:ind w:left="1701" w:firstLine="0"/>
      </w:pPr>
      <w:rPr>
        <w:rFonts w:hint="default"/>
      </w:rPr>
    </w:lvl>
    <w:lvl w:ilvl="8">
      <w:start w:val="1"/>
      <w:numFmt w:val="none"/>
      <w:lvlText w:val=""/>
      <w:lvlJc w:val="left"/>
      <w:pPr>
        <w:tabs>
          <w:tab w:val="num" w:pos="567"/>
        </w:tabs>
        <w:ind w:left="1701" w:firstLine="0"/>
      </w:pPr>
      <w:rPr>
        <w:rFonts w:hint="default"/>
      </w:rPr>
    </w:lvl>
  </w:abstractNum>
  <w:abstractNum w:abstractNumId="16" w15:restartNumberingAfterBreak="0">
    <w:nsid w:val="33446719"/>
    <w:multiLevelType w:val="multilevel"/>
    <w:tmpl w:val="C030A74E"/>
    <w:styleLink w:val="QAnumbering"/>
    <w:lvl w:ilvl="0">
      <w:start w:val="1"/>
      <w:numFmt w:val="decimal"/>
      <w:pStyle w:val="Questionnumbered"/>
      <w:lvlText w:val="%1."/>
      <w:lvlJc w:val="left"/>
      <w:pPr>
        <w:tabs>
          <w:tab w:val="num" w:pos="425"/>
        </w:tabs>
        <w:ind w:left="425" w:hanging="425"/>
      </w:pPr>
      <w:rPr>
        <w:rFonts w:hint="default"/>
      </w:rPr>
    </w:lvl>
    <w:lvl w:ilvl="1">
      <w:start w:val="1"/>
      <w:numFmt w:val="decimal"/>
      <w:pStyle w:val="Numberedanswerlevel1"/>
      <w:lvlText w:val="%1.%2"/>
      <w:lvlJc w:val="left"/>
      <w:pPr>
        <w:tabs>
          <w:tab w:val="num" w:pos="851"/>
        </w:tabs>
        <w:ind w:left="851" w:hanging="851"/>
      </w:pPr>
      <w:rPr>
        <w:rFonts w:hint="default"/>
      </w:rPr>
    </w:lvl>
    <w:lvl w:ilvl="2">
      <w:start w:val="1"/>
      <w:numFmt w:val="lowerLetter"/>
      <w:pStyle w:val="Numberedanswerlevel2"/>
      <w:lvlText w:val="%3)"/>
      <w:lvlJc w:val="left"/>
      <w:pPr>
        <w:tabs>
          <w:tab w:val="num" w:pos="1418"/>
        </w:tabs>
        <w:ind w:left="1332" w:hanging="567"/>
      </w:pPr>
      <w:rPr>
        <w:rFonts w:hint="default"/>
      </w:rPr>
    </w:lvl>
    <w:lvl w:ilvl="3">
      <w:start w:val="1"/>
      <w:numFmt w:val="lowerRoman"/>
      <w:pStyle w:val="Numberedanswerlevel3"/>
      <w:lvlText w:val="%4."/>
      <w:lvlJc w:val="left"/>
      <w:pPr>
        <w:tabs>
          <w:tab w:val="num" w:pos="1701"/>
        </w:tabs>
        <w:ind w:left="1616" w:hanging="284"/>
      </w:pPr>
      <w:rPr>
        <w:rFonts w:hint="default"/>
      </w:rPr>
    </w:lvl>
    <w:lvl w:ilvl="4">
      <w:start w:val="1"/>
      <w:numFmt w:val="none"/>
      <w:pStyle w:val="Numberedanswerlevel4"/>
      <w:lvlText w:val=""/>
      <w:lvlJc w:val="left"/>
      <w:pPr>
        <w:tabs>
          <w:tab w:val="num" w:pos="2835"/>
        </w:tabs>
        <w:ind w:left="2268" w:firstLine="0"/>
      </w:pPr>
      <w:rPr>
        <w:rFonts w:hint="default"/>
      </w:rPr>
    </w:lvl>
    <w:lvl w:ilvl="5">
      <w:start w:val="1"/>
      <w:numFmt w:val="lowerRoman"/>
      <w:lvlText w:val="(%6)"/>
      <w:lvlJc w:val="left"/>
      <w:pPr>
        <w:tabs>
          <w:tab w:val="num" w:pos="851"/>
        </w:tabs>
        <w:ind w:left="0" w:firstLine="851"/>
      </w:pPr>
      <w:rPr>
        <w:rFonts w:hint="default"/>
      </w:rPr>
    </w:lvl>
    <w:lvl w:ilvl="6">
      <w:start w:val="1"/>
      <w:numFmt w:val="decimal"/>
      <w:lvlText w:val="%7."/>
      <w:lvlJc w:val="left"/>
      <w:pPr>
        <w:tabs>
          <w:tab w:val="num" w:pos="851"/>
        </w:tabs>
        <w:ind w:left="0" w:firstLine="851"/>
      </w:pPr>
      <w:rPr>
        <w:rFonts w:hint="default"/>
      </w:rPr>
    </w:lvl>
    <w:lvl w:ilvl="7">
      <w:start w:val="1"/>
      <w:numFmt w:val="lowerLetter"/>
      <w:lvlText w:val="%8."/>
      <w:lvlJc w:val="left"/>
      <w:pPr>
        <w:tabs>
          <w:tab w:val="num" w:pos="851"/>
        </w:tabs>
        <w:ind w:left="0" w:firstLine="851"/>
      </w:pPr>
      <w:rPr>
        <w:rFonts w:hint="default"/>
      </w:rPr>
    </w:lvl>
    <w:lvl w:ilvl="8">
      <w:start w:val="1"/>
      <w:numFmt w:val="lowerRoman"/>
      <w:lvlText w:val="%9."/>
      <w:lvlJc w:val="left"/>
      <w:pPr>
        <w:tabs>
          <w:tab w:val="num" w:pos="851"/>
        </w:tabs>
        <w:ind w:left="0" w:firstLine="851"/>
      </w:pPr>
      <w:rPr>
        <w:rFonts w:hint="default"/>
      </w:rPr>
    </w:lvl>
  </w:abstractNum>
  <w:abstractNum w:abstractNumId="17" w15:restartNumberingAfterBreak="0">
    <w:nsid w:val="36A9221A"/>
    <w:multiLevelType w:val="hybridMultilevel"/>
    <w:tmpl w:val="D2F8153E"/>
    <w:lvl w:ilvl="0" w:tplc="C16A9ADC">
      <w:start w:val="1"/>
      <w:numFmt w:val="upperLetter"/>
      <w:pStyle w:val="Appendix"/>
      <w:lvlText w:val="Appendix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A740E0E"/>
    <w:multiLevelType w:val="multilevel"/>
    <w:tmpl w:val="3072FCFA"/>
    <w:lvl w:ilvl="0">
      <w:start w:val="1"/>
      <w:numFmt w:val="decimal"/>
      <w:pStyle w:val="Level3"/>
      <w:lvlText w:val="%1."/>
      <w:lvlJc w:val="left"/>
      <w:pPr>
        <w:tabs>
          <w:tab w:val="num" w:pos="851"/>
        </w:tabs>
        <w:ind w:left="851" w:hanging="851"/>
      </w:pPr>
      <w:rPr>
        <w:rFonts w:hint="default"/>
      </w:rPr>
    </w:lvl>
    <w:lvl w:ilvl="1">
      <w:start w:val="1"/>
      <w:numFmt w:val="decimal"/>
      <w:pStyle w:val="Level4"/>
      <w:lvlText w:val="%1.%2"/>
      <w:lvlJc w:val="left"/>
      <w:pPr>
        <w:tabs>
          <w:tab w:val="num" w:pos="851"/>
        </w:tabs>
        <w:ind w:left="851" w:hanging="851"/>
      </w:pPr>
      <w:rPr>
        <w:rFonts w:hint="default"/>
      </w:rPr>
    </w:lvl>
    <w:lvl w:ilvl="2">
      <w:start w:val="2"/>
      <w:numFmt w:val="lowerLetter"/>
      <w:pStyle w:val="MELegal3"/>
      <w:lvlText w:val="(%3)"/>
      <w:lvlJc w:val="left"/>
      <w:pPr>
        <w:tabs>
          <w:tab w:val="num" w:pos="2450"/>
        </w:tabs>
        <w:ind w:left="2450" w:hanging="850"/>
      </w:pPr>
      <w:rPr>
        <w:rFonts w:hint="default"/>
      </w:rPr>
    </w:lvl>
    <w:lvl w:ilvl="3">
      <w:start w:val="1"/>
      <w:numFmt w:val="lowerRoman"/>
      <w:pStyle w:val="MELegal2"/>
      <w:lvlText w:val="(%4)"/>
      <w:lvlJc w:val="left"/>
      <w:pPr>
        <w:tabs>
          <w:tab w:val="num" w:pos="2552"/>
        </w:tabs>
        <w:ind w:left="2552" w:hanging="851"/>
      </w:pPr>
      <w:rPr>
        <w:rFonts w:hint="default"/>
      </w:rPr>
    </w:lvl>
    <w:lvl w:ilvl="4">
      <w:start w:val="1"/>
      <w:numFmt w:val="upperLetter"/>
      <w:pStyle w:val="MELegal3"/>
      <w:lvlText w:val="(%5)"/>
      <w:lvlJc w:val="left"/>
      <w:pPr>
        <w:tabs>
          <w:tab w:val="num" w:pos="3402"/>
        </w:tabs>
        <w:ind w:left="3402" w:hanging="850"/>
      </w:pPr>
      <w:rPr>
        <w:rFonts w:hint="default"/>
      </w:rPr>
    </w:lvl>
    <w:lvl w:ilvl="5">
      <w:start w:val="1"/>
      <w:numFmt w:val="upperRoman"/>
      <w:pStyle w:val="MELegal4"/>
      <w:lvlText w:val="(%6)"/>
      <w:lvlJc w:val="left"/>
      <w:pPr>
        <w:tabs>
          <w:tab w:val="num" w:pos="4253"/>
        </w:tabs>
        <w:ind w:left="4253" w:hanging="851"/>
      </w:pPr>
      <w:rPr>
        <w:rFonts w:hint="default"/>
      </w:rPr>
    </w:lvl>
    <w:lvl w:ilvl="6">
      <w:start w:val="1"/>
      <w:numFmt w:val="decimal"/>
      <w:pStyle w:val="MELegal5"/>
      <w:lvlText w:val="%7)"/>
      <w:lvlJc w:val="left"/>
      <w:pPr>
        <w:tabs>
          <w:tab w:val="num" w:pos="5245"/>
        </w:tabs>
        <w:ind w:left="5245"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C080625"/>
    <w:multiLevelType w:val="multilevel"/>
    <w:tmpl w:val="2A9E7EC0"/>
    <w:lvl w:ilvl="0">
      <w:start w:val="1"/>
      <w:numFmt w:val="decimal"/>
      <w:lvlText w:val="%1"/>
      <w:lvlJc w:val="left"/>
      <w:pPr>
        <w:tabs>
          <w:tab w:val="num" w:pos="992"/>
        </w:tabs>
        <w:ind w:left="992" w:hanging="992"/>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rFonts w:cs="Times New Roman" w:hint="default"/>
        <w:b w:val="0"/>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b w:val="0"/>
        <w:i w:val="0"/>
      </w:rPr>
    </w:lvl>
    <w:lvl w:ilvl="4">
      <w:start w:val="1"/>
      <w:numFmt w:val="decimal"/>
      <w:pStyle w:val="principlesnumbered"/>
      <w:lvlText w:val="%5."/>
      <w:lvlJc w:val="left"/>
      <w:pPr>
        <w:tabs>
          <w:tab w:val="num" w:pos="1701"/>
        </w:tabs>
        <w:ind w:left="1701" w:hanging="709"/>
      </w:pPr>
      <w:rPr>
        <w:rFonts w:hint="default"/>
      </w:rPr>
    </w:lvl>
    <w:lvl w:ilvl="5">
      <w:start w:val="1"/>
      <w:numFmt w:val="lowerRoman"/>
      <w:lvlText w:val="(%6)"/>
      <w:lvlJc w:val="left"/>
      <w:pPr>
        <w:tabs>
          <w:tab w:val="num" w:pos="2410"/>
        </w:tabs>
        <w:ind w:left="2410" w:hanging="709"/>
      </w:pPr>
      <w:rPr>
        <w:rFonts w:hint="default"/>
      </w:rPr>
    </w:lvl>
    <w:lvl w:ilvl="6">
      <w:start w:val="1"/>
      <w:numFmt w:val="upperLetter"/>
      <w:lvlText w:val="(%7)"/>
      <w:lvlJc w:val="left"/>
      <w:pPr>
        <w:tabs>
          <w:tab w:val="num" w:pos="3119"/>
        </w:tabs>
        <w:ind w:left="3119" w:hanging="709"/>
      </w:pPr>
      <w:rPr>
        <w:rFonts w:hint="default"/>
      </w:rPr>
    </w:lvl>
    <w:lvl w:ilvl="7">
      <w:start w:val="1"/>
      <w:numFmt w:val="upperRoman"/>
      <w:lvlText w:val="(%8)"/>
      <w:lvlJc w:val="left"/>
      <w:pPr>
        <w:tabs>
          <w:tab w:val="num" w:pos="3827"/>
        </w:tabs>
        <w:ind w:left="3827" w:hanging="708"/>
      </w:pPr>
      <w:rPr>
        <w:rFonts w:hint="default"/>
      </w:rPr>
    </w:lvl>
    <w:lvl w:ilvl="8">
      <w:start w:val="1"/>
      <w:numFmt w:val="lowerLetter"/>
      <w:lvlText w:val="%9."/>
      <w:lvlJc w:val="left"/>
      <w:pPr>
        <w:tabs>
          <w:tab w:val="num" w:pos="4536"/>
        </w:tabs>
        <w:ind w:left="4536" w:hanging="709"/>
      </w:pPr>
      <w:rPr>
        <w:rFonts w:hint="default"/>
      </w:rPr>
    </w:lvl>
  </w:abstractNum>
  <w:abstractNum w:abstractNumId="20" w15:restartNumberingAfterBreak="0">
    <w:nsid w:val="4EA96CB0"/>
    <w:multiLevelType w:val="multilevel"/>
    <w:tmpl w:val="590EE9AE"/>
    <w:lvl w:ilvl="0">
      <w:start w:val="1"/>
      <w:numFmt w:val="decimal"/>
      <w:pStyle w:val="H1"/>
      <w:suff w:val="nothing"/>
      <w:lvlText w:val="%1"/>
      <w:lvlJc w:val="left"/>
      <w:pPr>
        <w:ind w:left="0" w:firstLine="0"/>
      </w:pPr>
      <w:rPr>
        <w:rFonts w:hint="default"/>
        <w:sz w:val="22"/>
      </w:rPr>
    </w:lvl>
    <w:lvl w:ilvl="1">
      <w:start w:val="1"/>
      <w:numFmt w:val="decimal"/>
      <w:pStyle w:val="H2"/>
      <w:suff w:val="nothing"/>
      <w:lvlText w:val="%1.%2"/>
      <w:lvlJc w:val="left"/>
      <w:pPr>
        <w:ind w:left="0" w:firstLine="0"/>
      </w:pPr>
      <w:rPr>
        <w:rFonts w:hint="default"/>
      </w:rPr>
    </w:lvl>
    <w:lvl w:ilvl="2">
      <w:start w:val="1"/>
      <w:numFmt w:val="decimal"/>
      <w:suff w:val="nothing"/>
      <w:lvlText w:val="%1.%2.%3"/>
      <w:lvlJc w:val="left"/>
      <w:pPr>
        <w:ind w:left="0" w:firstLine="0"/>
      </w:pPr>
      <w:rPr>
        <w:rFonts w:hint="default"/>
        <w:b/>
        <w:i w:val="0"/>
      </w:rPr>
    </w:lvl>
    <w:lvl w:ilvl="3">
      <w:start w:val="1"/>
      <w:numFmt w:val="decimal"/>
      <w:suff w:val="nothing"/>
      <w:lvlText w:val="%1.%2.%3.%4"/>
      <w:lvlJc w:val="left"/>
      <w:pPr>
        <w:ind w:left="0" w:firstLine="0"/>
      </w:pPr>
      <w:rPr>
        <w:rFonts w:hint="default"/>
        <w:b/>
        <w:i w:val="0"/>
      </w:rPr>
    </w:lvl>
    <w:lvl w:ilvl="4">
      <w:start w:val="1"/>
      <w:numFmt w:val="decimal"/>
      <w:suff w:val="nothing"/>
      <w:lvlText w:val="%1.%2.%3.%4.%5"/>
      <w:lvlJc w:val="left"/>
      <w:pPr>
        <w:ind w:left="0" w:firstLine="0"/>
      </w:pPr>
      <w:rPr>
        <w:rFonts w:hint="default"/>
        <w:b/>
        <w:i w:val="0"/>
      </w:rPr>
    </w:lvl>
    <w:lvl w:ilvl="5">
      <w:start w:val="1"/>
      <w:numFmt w:val="lowerLetter"/>
      <w:pStyle w:val="B2"/>
      <w:lvlText w:val="(%6)"/>
      <w:lvlJc w:val="left"/>
      <w:pPr>
        <w:tabs>
          <w:tab w:val="num" w:pos="567"/>
        </w:tabs>
        <w:ind w:left="567" w:hanging="567"/>
      </w:pPr>
      <w:rPr>
        <w:rFonts w:hint="default"/>
      </w:rPr>
    </w:lvl>
    <w:lvl w:ilvl="6">
      <w:start w:val="1"/>
      <w:numFmt w:val="lowerRoman"/>
      <w:pStyle w:val="B3"/>
      <w:lvlText w:val="(%7)"/>
      <w:lvlJc w:val="left"/>
      <w:pPr>
        <w:tabs>
          <w:tab w:val="num" w:pos="1287"/>
        </w:tabs>
        <w:ind w:left="1134" w:hanging="567"/>
      </w:pPr>
      <w:rPr>
        <w:rFonts w:hint="default"/>
      </w:rPr>
    </w:lvl>
    <w:lvl w:ilvl="7">
      <w:start w:val="1"/>
      <w:numFmt w:val="upperLetter"/>
      <w:pStyle w:val="B4"/>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21" w15:restartNumberingAfterBreak="0">
    <w:nsid w:val="5B4D5911"/>
    <w:multiLevelType w:val="hybridMultilevel"/>
    <w:tmpl w:val="3ABC883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5DF429E5"/>
    <w:multiLevelType w:val="hybridMultilevel"/>
    <w:tmpl w:val="3F7E5420"/>
    <w:lvl w:ilvl="0" w:tplc="CB0E58AC">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EE36F89"/>
    <w:multiLevelType w:val="hybridMultilevel"/>
    <w:tmpl w:val="7AD6D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F5A49D5"/>
    <w:multiLevelType w:val="multilevel"/>
    <w:tmpl w:val="224E5966"/>
    <w:lvl w:ilvl="0">
      <w:start w:val="1"/>
      <w:numFmt w:val="upperLetter"/>
      <w:pStyle w:val="Appendixheading1"/>
      <w:lvlText w:val="Appendix %1"/>
      <w:lvlJc w:val="left"/>
      <w:pPr>
        <w:tabs>
          <w:tab w:val="num" w:pos="3828"/>
        </w:tabs>
        <w:ind w:left="1559" w:hanging="1559"/>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tabs>
          <w:tab w:val="num" w:pos="765"/>
        </w:tabs>
        <w:ind w:left="765" w:hanging="765"/>
      </w:pPr>
      <w:rPr>
        <w:rFonts w:hint="default"/>
      </w:rPr>
    </w:lvl>
    <w:lvl w:ilvl="2">
      <w:start w:val="1"/>
      <w:numFmt w:val="decimal"/>
      <w:pStyle w:val="Appendixheading3"/>
      <w:lvlText w:val="%1.%2.%3"/>
      <w:lvlJc w:val="left"/>
      <w:pPr>
        <w:tabs>
          <w:tab w:val="num" w:pos="765"/>
        </w:tabs>
        <w:ind w:left="765" w:hanging="765"/>
      </w:pPr>
      <w:rPr>
        <w:rFonts w:hint="default"/>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3F4510F"/>
    <w:multiLevelType w:val="multilevel"/>
    <w:tmpl w:val="5FA469F4"/>
    <w:name w:val="Black_Outline_Numbering"/>
    <w:lvl w:ilvl="0">
      <w:start w:val="1"/>
      <w:numFmt w:val="decimal"/>
      <w:lvlText w:val="%1."/>
      <w:lvlJc w:val="left"/>
      <w:pPr>
        <w:tabs>
          <w:tab w:val="num" w:pos="709"/>
        </w:tabs>
        <w:ind w:left="709" w:hanging="709"/>
      </w:pPr>
      <w:rPr>
        <w:rFonts w:ascii="Arial (W1)" w:hAnsi="Arial (W1)" w:hint="default"/>
        <w:b/>
        <w:i w:val="0"/>
        <w:sz w:val="20"/>
        <w:u w:val="none"/>
      </w:rPr>
    </w:lvl>
    <w:lvl w:ilvl="1">
      <w:start w:val="1"/>
      <w:numFmt w:val="decimal"/>
      <w:lvlText w:val="%1.%2"/>
      <w:lvlJc w:val="left"/>
      <w:pPr>
        <w:tabs>
          <w:tab w:val="num" w:pos="1417"/>
        </w:tabs>
        <w:ind w:left="1417" w:hanging="708"/>
      </w:pPr>
      <w:rPr>
        <w:rFonts w:hint="default"/>
        <w:b w:val="0"/>
        <w:u w:val="none"/>
      </w:rPr>
    </w:lvl>
    <w:lvl w:ilvl="2">
      <w:start w:val="1"/>
      <w:numFmt w:val="decimal"/>
      <w:lvlText w:val="%1.%2.%3"/>
      <w:lvlJc w:val="left"/>
      <w:pPr>
        <w:tabs>
          <w:tab w:val="num" w:pos="2694"/>
        </w:tabs>
        <w:ind w:left="2694" w:hanging="709"/>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35"/>
        </w:tabs>
        <w:ind w:left="2835" w:hanging="709"/>
      </w:pPr>
      <w:rPr>
        <w:rFonts w:hint="default"/>
        <w:b w:val="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47A7B95"/>
    <w:multiLevelType w:val="hybridMultilevel"/>
    <w:tmpl w:val="F42CEC9E"/>
    <w:lvl w:ilvl="0" w:tplc="16D2C9AA">
      <w:start w:val="1"/>
      <w:numFmt w:val="bullet"/>
      <w:pStyle w:val="TableBodyText"/>
      <w:lvlText w:val=""/>
      <w:lvlJc w:val="left"/>
      <w:pPr>
        <w:tabs>
          <w:tab w:val="num" w:pos="360"/>
        </w:tabs>
        <w:ind w:left="284" w:hanging="284"/>
      </w:pPr>
      <w:rPr>
        <w:rFonts w:ascii="Symbol" w:hAnsi="Symbol" w:hint="default"/>
      </w:rPr>
    </w:lvl>
    <w:lvl w:ilvl="1" w:tplc="28F6C750" w:tentative="1">
      <w:start w:val="1"/>
      <w:numFmt w:val="bullet"/>
      <w:lvlText w:val="o"/>
      <w:lvlJc w:val="left"/>
      <w:pPr>
        <w:tabs>
          <w:tab w:val="num" w:pos="1440"/>
        </w:tabs>
        <w:ind w:left="1440" w:hanging="360"/>
      </w:pPr>
      <w:rPr>
        <w:rFonts w:ascii="Courier New" w:hAnsi="Courier New" w:hint="default"/>
      </w:rPr>
    </w:lvl>
    <w:lvl w:ilvl="2" w:tplc="F9AE1858" w:tentative="1">
      <w:start w:val="1"/>
      <w:numFmt w:val="bullet"/>
      <w:lvlText w:val=""/>
      <w:lvlJc w:val="left"/>
      <w:pPr>
        <w:tabs>
          <w:tab w:val="num" w:pos="2160"/>
        </w:tabs>
        <w:ind w:left="2160" w:hanging="360"/>
      </w:pPr>
      <w:rPr>
        <w:rFonts w:ascii="Wingdings" w:hAnsi="Wingdings" w:hint="default"/>
      </w:rPr>
    </w:lvl>
    <w:lvl w:ilvl="3" w:tplc="390AB84C" w:tentative="1">
      <w:start w:val="1"/>
      <w:numFmt w:val="bullet"/>
      <w:lvlText w:val=""/>
      <w:lvlJc w:val="left"/>
      <w:pPr>
        <w:tabs>
          <w:tab w:val="num" w:pos="2880"/>
        </w:tabs>
        <w:ind w:left="2880" w:hanging="360"/>
      </w:pPr>
      <w:rPr>
        <w:rFonts w:ascii="Symbol" w:hAnsi="Symbol" w:hint="default"/>
      </w:rPr>
    </w:lvl>
    <w:lvl w:ilvl="4" w:tplc="D03C0B3E" w:tentative="1">
      <w:start w:val="1"/>
      <w:numFmt w:val="bullet"/>
      <w:lvlText w:val="o"/>
      <w:lvlJc w:val="left"/>
      <w:pPr>
        <w:tabs>
          <w:tab w:val="num" w:pos="3600"/>
        </w:tabs>
        <w:ind w:left="3600" w:hanging="360"/>
      </w:pPr>
      <w:rPr>
        <w:rFonts w:ascii="Courier New" w:hAnsi="Courier New" w:hint="default"/>
      </w:rPr>
    </w:lvl>
    <w:lvl w:ilvl="5" w:tplc="A16C2A52" w:tentative="1">
      <w:start w:val="1"/>
      <w:numFmt w:val="bullet"/>
      <w:lvlText w:val=""/>
      <w:lvlJc w:val="left"/>
      <w:pPr>
        <w:tabs>
          <w:tab w:val="num" w:pos="4320"/>
        </w:tabs>
        <w:ind w:left="4320" w:hanging="360"/>
      </w:pPr>
      <w:rPr>
        <w:rFonts w:ascii="Wingdings" w:hAnsi="Wingdings" w:hint="default"/>
      </w:rPr>
    </w:lvl>
    <w:lvl w:ilvl="6" w:tplc="DBCCBD8E" w:tentative="1">
      <w:start w:val="1"/>
      <w:numFmt w:val="bullet"/>
      <w:lvlText w:val=""/>
      <w:lvlJc w:val="left"/>
      <w:pPr>
        <w:tabs>
          <w:tab w:val="num" w:pos="5040"/>
        </w:tabs>
        <w:ind w:left="5040" w:hanging="360"/>
      </w:pPr>
      <w:rPr>
        <w:rFonts w:ascii="Symbol" w:hAnsi="Symbol" w:hint="default"/>
      </w:rPr>
    </w:lvl>
    <w:lvl w:ilvl="7" w:tplc="A6083090" w:tentative="1">
      <w:start w:val="1"/>
      <w:numFmt w:val="bullet"/>
      <w:lvlText w:val="o"/>
      <w:lvlJc w:val="left"/>
      <w:pPr>
        <w:tabs>
          <w:tab w:val="num" w:pos="5760"/>
        </w:tabs>
        <w:ind w:left="5760" w:hanging="360"/>
      </w:pPr>
      <w:rPr>
        <w:rFonts w:ascii="Courier New" w:hAnsi="Courier New" w:hint="default"/>
      </w:rPr>
    </w:lvl>
    <w:lvl w:ilvl="8" w:tplc="6CA446A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633C57"/>
    <w:multiLevelType w:val="multilevel"/>
    <w:tmpl w:val="2EC0EB34"/>
    <w:lvl w:ilvl="0">
      <w:start w:val="1"/>
      <w:numFmt w:val="decimal"/>
      <w:pStyle w:val="Outline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75BE514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7ACB005D"/>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B007064"/>
    <w:multiLevelType w:val="hybridMultilevel"/>
    <w:tmpl w:val="DE1EB5D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1" w15:restartNumberingAfterBreak="0">
    <w:nsid w:val="7B646EFF"/>
    <w:multiLevelType w:val="multilevel"/>
    <w:tmpl w:val="961C4278"/>
    <w:lvl w:ilvl="0">
      <w:start w:val="1"/>
      <w:numFmt w:val="decimal"/>
      <w:lvlText w:val="%1."/>
      <w:lvlJc w:val="left"/>
      <w:pPr>
        <w:tabs>
          <w:tab w:val="num" w:pos="850"/>
        </w:tabs>
        <w:ind w:left="850" w:hanging="850"/>
      </w:pPr>
      <w:rPr>
        <w:rFonts w:ascii="Arial" w:hAnsi="Arial" w:cs="Arial"/>
        <w:b w:val="0"/>
        <w:i w:val="0"/>
        <w:caps w:val="0"/>
        <w:strike w:val="0"/>
        <w:dstrike w:val="0"/>
        <w:outline w:val="0"/>
        <w:shadow w:val="0"/>
        <w:emboss w:val="0"/>
        <w:imprint w:val="0"/>
        <w:vanish w:val="0"/>
        <w:color w:val="auto"/>
        <w:kern w:val="28"/>
        <w:sz w:val="20"/>
        <w:u w:val="none"/>
        <w:effect w:val="none"/>
        <w:vertAlign w:val="baseline"/>
      </w:rPr>
    </w:lvl>
    <w:lvl w:ilvl="1">
      <w:start w:val="1"/>
      <w:numFmt w:val="lowerLetter"/>
      <w:lvlText w:val="(%2)"/>
      <w:lvlJc w:val="left"/>
      <w:pPr>
        <w:tabs>
          <w:tab w:val="num" w:pos="1701"/>
        </w:tabs>
        <w:ind w:left="1701" w:hanging="851"/>
      </w:pPr>
      <w:rPr>
        <w:rFonts w:ascii="Arial" w:hAnsi="Arial" w:cs="Arial"/>
        <w:b w:val="0"/>
        <w:i w:val="0"/>
        <w:caps w:val="0"/>
        <w:strike w:val="0"/>
        <w:dstrike w:val="0"/>
        <w:outline w:val="0"/>
        <w:shadow w:val="0"/>
        <w:emboss w:val="0"/>
        <w:imprint w:val="0"/>
        <w:vanish w:val="0"/>
        <w:color w:val="auto"/>
        <w:kern w:val="28"/>
        <w:sz w:val="18"/>
        <w:szCs w:val="18"/>
        <w:u w:val="single"/>
        <w:effect w:val="none"/>
        <w:vertAlign w:val="baseline"/>
      </w:rPr>
    </w:lvl>
    <w:lvl w:ilvl="2">
      <w:start w:val="1"/>
      <w:numFmt w:val="lowerRoman"/>
      <w:lvlText w:val="(%3)"/>
      <w:lvlJc w:val="left"/>
      <w:pPr>
        <w:tabs>
          <w:tab w:val="num" w:pos="2551"/>
        </w:tabs>
        <w:ind w:left="2551" w:hanging="850"/>
      </w:pPr>
      <w:rPr>
        <w:rFonts w:ascii="Arial" w:hAnsi="Arial" w:cs="Arial"/>
        <w:b w:val="0"/>
        <w:i w:val="0"/>
        <w:caps w:val="0"/>
        <w:strike w:val="0"/>
        <w:dstrike w:val="0"/>
        <w:outline w:val="0"/>
        <w:shadow w:val="0"/>
        <w:emboss w:val="0"/>
        <w:imprint w:val="0"/>
        <w:vanish w:val="0"/>
        <w:color w:val="auto"/>
        <w:kern w:val="28"/>
        <w:sz w:val="20"/>
        <w:u w:val="none"/>
        <w:effect w:val="none"/>
        <w:vertAlign w:val="baseline"/>
      </w:rPr>
    </w:lvl>
    <w:lvl w:ilvl="3">
      <w:start w:val="27"/>
      <w:numFmt w:val="lowerLetter"/>
      <w:lvlText w:val="(%4)"/>
      <w:lvlJc w:val="left"/>
      <w:pPr>
        <w:tabs>
          <w:tab w:val="num" w:pos="3402"/>
        </w:tabs>
        <w:ind w:left="3402" w:hanging="851"/>
      </w:pPr>
      <w:rPr>
        <w:rFonts w:ascii="Arial" w:hAnsi="Arial" w:cs="Arial"/>
        <w:b w:val="0"/>
        <w:i w:val="0"/>
        <w:caps w:val="0"/>
        <w:strike w:val="0"/>
        <w:dstrike w:val="0"/>
        <w:outline w:val="0"/>
        <w:shadow w:val="0"/>
        <w:emboss w:val="0"/>
        <w:imprint w:val="0"/>
        <w:vanish w:val="0"/>
        <w:color w:val="auto"/>
        <w:kern w:val="28"/>
        <w:sz w:val="20"/>
        <w:u w:val="none"/>
        <w:effect w:val="none"/>
        <w:vertAlign w:val="baseline"/>
      </w:rPr>
    </w:lvl>
    <w:lvl w:ilvl="4">
      <w:start w:val="1"/>
      <w:numFmt w:val="none"/>
      <w:lvlText w:val=""/>
      <w:lvlJc w:val="left"/>
      <w:pPr>
        <w:tabs>
          <w:tab w:val="num" w:pos="3402"/>
        </w:tabs>
        <w:ind w:left="3402" w:firstLine="0"/>
      </w:pPr>
      <w:rPr>
        <w:rFonts w:ascii="Arial" w:hAnsi="Arial" w:cs="Arial"/>
        <w:b w:val="0"/>
        <w:i w:val="0"/>
        <w:caps w:val="0"/>
        <w:strike w:val="0"/>
        <w:dstrike w:val="0"/>
        <w:outline w:val="0"/>
        <w:shadow w:val="0"/>
        <w:emboss w:val="0"/>
        <w:imprint w:val="0"/>
        <w:vanish w:val="0"/>
        <w:color w:val="auto"/>
        <w:kern w:val="28"/>
        <w:sz w:val="20"/>
        <w:u w:val="none"/>
        <w:effect w:val="none"/>
        <w:vertAlign w:val="baseline"/>
      </w:rPr>
    </w:lvl>
    <w:lvl w:ilvl="5">
      <w:start w:val="1"/>
      <w:numFmt w:val="none"/>
      <w:lvlText w:val=""/>
      <w:lvlJc w:val="left"/>
      <w:pPr>
        <w:tabs>
          <w:tab w:val="num" w:pos="3402"/>
        </w:tabs>
        <w:ind w:left="3402" w:firstLine="0"/>
      </w:pPr>
      <w:rPr>
        <w:rFonts w:ascii="Arial" w:hAnsi="Arial" w:cs="Arial"/>
        <w:b w:val="0"/>
        <w:i w:val="0"/>
        <w:caps w:val="0"/>
        <w:strike w:val="0"/>
        <w:dstrike w:val="0"/>
        <w:outline w:val="0"/>
        <w:shadow w:val="0"/>
        <w:emboss w:val="0"/>
        <w:imprint w:val="0"/>
        <w:vanish w:val="0"/>
        <w:color w:val="auto"/>
        <w:kern w:val="28"/>
        <w:sz w:val="20"/>
        <w:u w:val="none"/>
        <w:effect w:val="none"/>
        <w:vertAlign w:val="baseline"/>
      </w:rPr>
    </w:lvl>
    <w:lvl w:ilvl="6">
      <w:start w:val="1"/>
      <w:numFmt w:val="none"/>
      <w:lvlText w:val=""/>
      <w:lvlJc w:val="left"/>
      <w:pPr>
        <w:tabs>
          <w:tab w:val="num" w:pos="3402"/>
        </w:tabs>
        <w:ind w:left="3402" w:firstLine="0"/>
      </w:pPr>
      <w:rPr>
        <w:rFonts w:ascii="Arial" w:hAnsi="Arial" w:cs="Arial"/>
        <w:b w:val="0"/>
        <w:i w:val="0"/>
        <w:caps w:val="0"/>
        <w:strike w:val="0"/>
        <w:dstrike w:val="0"/>
        <w:outline w:val="0"/>
        <w:shadow w:val="0"/>
        <w:emboss w:val="0"/>
        <w:imprint w:val="0"/>
        <w:vanish w:val="0"/>
        <w:color w:val="auto"/>
        <w:kern w:val="28"/>
        <w:sz w:val="20"/>
        <w:u w:val="none"/>
        <w:effect w:val="none"/>
        <w:vertAlign w:val="baseline"/>
      </w:rPr>
    </w:lvl>
    <w:lvl w:ilvl="7">
      <w:start w:val="1"/>
      <w:numFmt w:val="none"/>
      <w:lvlText w:val=""/>
      <w:lvlJc w:val="left"/>
      <w:pPr>
        <w:tabs>
          <w:tab w:val="num" w:pos="3402"/>
        </w:tabs>
        <w:ind w:left="3402" w:firstLine="0"/>
      </w:pPr>
      <w:rPr>
        <w:rFonts w:ascii="Arial" w:hAnsi="Arial" w:cs="Arial"/>
        <w:b w:val="0"/>
        <w:i w:val="0"/>
        <w:caps w:val="0"/>
        <w:strike w:val="0"/>
        <w:dstrike w:val="0"/>
        <w:outline w:val="0"/>
        <w:shadow w:val="0"/>
        <w:emboss w:val="0"/>
        <w:imprint w:val="0"/>
        <w:vanish w:val="0"/>
        <w:color w:val="auto"/>
        <w:kern w:val="28"/>
        <w:sz w:val="20"/>
        <w:u w:val="none"/>
        <w:effect w:val="none"/>
        <w:vertAlign w:val="baseline"/>
      </w:rPr>
    </w:lvl>
    <w:lvl w:ilvl="8">
      <w:start w:val="1"/>
      <w:numFmt w:val="none"/>
      <w:lvlText w:val=""/>
      <w:lvlJc w:val="left"/>
      <w:pPr>
        <w:tabs>
          <w:tab w:val="num" w:pos="3402"/>
        </w:tabs>
        <w:ind w:left="3402" w:firstLine="0"/>
      </w:pPr>
      <w:rPr>
        <w:rFonts w:ascii="Arial" w:hAnsi="Arial" w:cs="Arial"/>
        <w:b w:val="0"/>
        <w:i w:val="0"/>
        <w:caps w:val="0"/>
        <w:strike w:val="0"/>
        <w:dstrike w:val="0"/>
        <w:outline w:val="0"/>
        <w:shadow w:val="0"/>
        <w:emboss w:val="0"/>
        <w:imprint w:val="0"/>
        <w:vanish w:val="0"/>
        <w:color w:val="auto"/>
        <w:kern w:val="28"/>
        <w:sz w:val="20"/>
        <w:u w:val="none"/>
        <w:effect w:val="none"/>
        <w:vertAlign w:val="baseline"/>
      </w:rPr>
    </w:lvl>
  </w:abstractNum>
  <w:num w:numId="1">
    <w:abstractNumId w:val="3"/>
  </w:num>
  <w:num w:numId="2">
    <w:abstractNumId w:val="18"/>
  </w:num>
  <w:num w:numId="3">
    <w:abstractNumId w:val="20"/>
  </w:num>
  <w:num w:numId="4">
    <w:abstractNumId w:val="26"/>
  </w:num>
  <w:num w:numId="5">
    <w:abstractNumId w:val="29"/>
  </w:num>
  <w:num w:numId="6">
    <w:abstractNumId w:val="17"/>
  </w:num>
  <w:num w:numId="7">
    <w:abstractNumId w:val="19"/>
  </w:num>
  <w:num w:numId="8">
    <w:abstractNumId w:val="13"/>
  </w:num>
  <w:num w:numId="9">
    <w:abstractNumId w:val="16"/>
  </w:num>
  <w:num w:numId="10">
    <w:abstractNumId w:val="0"/>
    <w:lvlOverride w:ilvl="0">
      <w:lvl w:ilvl="0">
        <w:start w:val="1"/>
        <w:numFmt w:val="decimal"/>
        <w:pStyle w:val="Questionnumbered"/>
        <w:lvlText w:val="%1."/>
        <w:lvlJc w:val="left"/>
        <w:pPr>
          <w:tabs>
            <w:tab w:val="num" w:pos="425"/>
          </w:tabs>
          <w:ind w:left="425" w:hanging="425"/>
        </w:pPr>
        <w:rPr>
          <w:rFonts w:hint="default"/>
        </w:rPr>
      </w:lvl>
    </w:lvlOverride>
    <w:lvlOverride w:ilvl="1">
      <w:lvl w:ilvl="1">
        <w:start w:val="1"/>
        <w:numFmt w:val="decimal"/>
        <w:pStyle w:val="Numberedanswerlevel1"/>
        <w:lvlText w:val="%1.%2"/>
        <w:lvlJc w:val="left"/>
        <w:pPr>
          <w:tabs>
            <w:tab w:val="num" w:pos="851"/>
          </w:tabs>
          <w:ind w:left="851" w:hanging="851"/>
        </w:pPr>
        <w:rPr>
          <w:rFonts w:hint="default"/>
          <w:b w:val="0"/>
        </w:rPr>
      </w:lvl>
    </w:lvlOverride>
    <w:lvlOverride w:ilvl="2">
      <w:lvl w:ilvl="2">
        <w:start w:val="1"/>
        <w:numFmt w:val="lowerLetter"/>
        <w:pStyle w:val="Numberedanswerlevel2"/>
        <w:lvlText w:val="%3)"/>
        <w:lvlJc w:val="left"/>
        <w:pPr>
          <w:tabs>
            <w:tab w:val="num" w:pos="1418"/>
          </w:tabs>
          <w:ind w:left="1332" w:hanging="567"/>
        </w:pPr>
        <w:rPr>
          <w:rFonts w:hint="default"/>
        </w:rPr>
      </w:lvl>
    </w:lvlOverride>
    <w:lvlOverride w:ilvl="3">
      <w:lvl w:ilvl="3">
        <w:start w:val="1"/>
        <w:numFmt w:val="lowerRoman"/>
        <w:pStyle w:val="Numberedanswerlevel3"/>
        <w:lvlText w:val="%4."/>
        <w:lvlJc w:val="left"/>
        <w:pPr>
          <w:tabs>
            <w:tab w:val="num" w:pos="1701"/>
          </w:tabs>
          <w:ind w:left="1616" w:hanging="284"/>
        </w:pPr>
        <w:rPr>
          <w:rFonts w:hint="default"/>
        </w:rPr>
      </w:lvl>
    </w:lvlOverride>
    <w:lvlOverride w:ilvl="4">
      <w:lvl w:ilvl="4">
        <w:start w:val="1"/>
        <w:numFmt w:val="none"/>
        <w:pStyle w:val="Numberedanswerlevel4"/>
        <w:lvlText w:val=""/>
        <w:lvlJc w:val="left"/>
        <w:pPr>
          <w:tabs>
            <w:tab w:val="num" w:pos="2835"/>
          </w:tabs>
          <w:ind w:left="2268" w:firstLine="0"/>
        </w:pPr>
        <w:rPr>
          <w:rFonts w:hint="default"/>
        </w:rPr>
      </w:lvl>
    </w:lvlOverride>
    <w:lvlOverride w:ilvl="5">
      <w:lvl w:ilvl="5">
        <w:start w:val="1"/>
        <w:numFmt w:val="lowerRoman"/>
        <w:lvlText w:val="(%6)"/>
        <w:lvlJc w:val="left"/>
        <w:pPr>
          <w:tabs>
            <w:tab w:val="num" w:pos="851"/>
          </w:tabs>
          <w:ind w:left="0" w:firstLine="851"/>
        </w:pPr>
        <w:rPr>
          <w:rFonts w:hint="default"/>
        </w:rPr>
      </w:lvl>
    </w:lvlOverride>
    <w:lvlOverride w:ilvl="6">
      <w:lvl w:ilvl="6">
        <w:start w:val="1"/>
        <w:numFmt w:val="decimal"/>
        <w:lvlText w:val="%7."/>
        <w:lvlJc w:val="left"/>
        <w:pPr>
          <w:tabs>
            <w:tab w:val="num" w:pos="851"/>
          </w:tabs>
          <w:ind w:left="0" w:firstLine="851"/>
        </w:pPr>
        <w:rPr>
          <w:rFonts w:hint="default"/>
        </w:rPr>
      </w:lvl>
    </w:lvlOverride>
    <w:lvlOverride w:ilvl="7">
      <w:lvl w:ilvl="7">
        <w:start w:val="1"/>
        <w:numFmt w:val="lowerLetter"/>
        <w:lvlText w:val="%8."/>
        <w:lvlJc w:val="left"/>
        <w:pPr>
          <w:tabs>
            <w:tab w:val="num" w:pos="851"/>
          </w:tabs>
          <w:ind w:left="0" w:firstLine="851"/>
        </w:pPr>
        <w:rPr>
          <w:rFonts w:hint="default"/>
        </w:rPr>
      </w:lvl>
    </w:lvlOverride>
    <w:lvlOverride w:ilvl="8">
      <w:lvl w:ilvl="8">
        <w:start w:val="1"/>
        <w:numFmt w:val="lowerRoman"/>
        <w:lvlText w:val="%9."/>
        <w:lvlJc w:val="left"/>
        <w:pPr>
          <w:tabs>
            <w:tab w:val="num" w:pos="851"/>
          </w:tabs>
          <w:ind w:left="0" w:firstLine="851"/>
        </w:pPr>
        <w:rPr>
          <w:rFonts w:hint="default"/>
        </w:rPr>
      </w:lvl>
    </w:lvlOverride>
  </w:num>
  <w:num w:numId="11">
    <w:abstractNumId w:val="6"/>
  </w:num>
  <w:num w:numId="12">
    <w:abstractNumId w:val="7"/>
  </w:num>
  <w:num w:numId="13">
    <w:abstractNumId w:val="14"/>
  </w:num>
  <w:num w:numId="14">
    <w:abstractNumId w:val="8"/>
  </w:num>
  <w:num w:numId="15">
    <w:abstractNumId w:val="27"/>
  </w:num>
  <w:num w:numId="16">
    <w:abstractNumId w:val="11"/>
  </w:num>
  <w:num w:numId="17">
    <w:abstractNumId w:val="12"/>
  </w:num>
  <w:num w:numId="18">
    <w:abstractNumId w:val="24"/>
  </w:num>
  <w:num w:numId="19">
    <w:abstractNumId w:val="28"/>
  </w:num>
  <w:num w:numId="20">
    <w:abstractNumId w:val="2"/>
  </w:num>
  <w:num w:numId="21">
    <w:abstractNumId w:val="5"/>
  </w:num>
  <w:num w:numId="22">
    <w:abstractNumId w:val="1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
  </w:num>
  <w:num w:numId="41">
    <w:abstractNumId w:val="23"/>
  </w:num>
  <w:num w:numId="42">
    <w:abstractNumId w:val="10"/>
  </w:num>
  <w:num w:numId="43">
    <w:abstractNumId w:val="4"/>
  </w:num>
  <w:num w:numId="44">
    <w:abstractNumId w:val="21"/>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47"/>
    <w:rsid w:val="00002BD4"/>
    <w:rsid w:val="00005D3B"/>
    <w:rsid w:val="000067C6"/>
    <w:rsid w:val="00010D74"/>
    <w:rsid w:val="00011689"/>
    <w:rsid w:val="00011900"/>
    <w:rsid w:val="00011FE6"/>
    <w:rsid w:val="000121A4"/>
    <w:rsid w:val="000127C2"/>
    <w:rsid w:val="000168DE"/>
    <w:rsid w:val="0001711B"/>
    <w:rsid w:val="00020C6E"/>
    <w:rsid w:val="00022571"/>
    <w:rsid w:val="00023516"/>
    <w:rsid w:val="00023F4A"/>
    <w:rsid w:val="0002432C"/>
    <w:rsid w:val="00024D64"/>
    <w:rsid w:val="00025303"/>
    <w:rsid w:val="00026749"/>
    <w:rsid w:val="00030F8B"/>
    <w:rsid w:val="0003171E"/>
    <w:rsid w:val="0003445E"/>
    <w:rsid w:val="00035ADA"/>
    <w:rsid w:val="00036063"/>
    <w:rsid w:val="00036D6A"/>
    <w:rsid w:val="00036F20"/>
    <w:rsid w:val="000373D3"/>
    <w:rsid w:val="0004014E"/>
    <w:rsid w:val="00040773"/>
    <w:rsid w:val="00041172"/>
    <w:rsid w:val="00041360"/>
    <w:rsid w:val="00041F4C"/>
    <w:rsid w:val="00043527"/>
    <w:rsid w:val="00044328"/>
    <w:rsid w:val="00047A56"/>
    <w:rsid w:val="000503DD"/>
    <w:rsid w:val="00051037"/>
    <w:rsid w:val="000522CA"/>
    <w:rsid w:val="00052F18"/>
    <w:rsid w:val="0005302A"/>
    <w:rsid w:val="0005661F"/>
    <w:rsid w:val="00056F74"/>
    <w:rsid w:val="0006064B"/>
    <w:rsid w:val="00061B39"/>
    <w:rsid w:val="00062546"/>
    <w:rsid w:val="000632D7"/>
    <w:rsid w:val="00063350"/>
    <w:rsid w:val="00064D92"/>
    <w:rsid w:val="00065B01"/>
    <w:rsid w:val="00066856"/>
    <w:rsid w:val="00067C61"/>
    <w:rsid w:val="0007014C"/>
    <w:rsid w:val="00070F87"/>
    <w:rsid w:val="000712F4"/>
    <w:rsid w:val="00073AD0"/>
    <w:rsid w:val="0007400E"/>
    <w:rsid w:val="00074D9B"/>
    <w:rsid w:val="0007697A"/>
    <w:rsid w:val="000770C7"/>
    <w:rsid w:val="00083D5D"/>
    <w:rsid w:val="00085C1D"/>
    <w:rsid w:val="000861BB"/>
    <w:rsid w:val="0008664D"/>
    <w:rsid w:val="00086DDD"/>
    <w:rsid w:val="00092124"/>
    <w:rsid w:val="000936EB"/>
    <w:rsid w:val="00093797"/>
    <w:rsid w:val="00093E08"/>
    <w:rsid w:val="0009401D"/>
    <w:rsid w:val="00094671"/>
    <w:rsid w:val="0009640E"/>
    <w:rsid w:val="00096667"/>
    <w:rsid w:val="00096A5A"/>
    <w:rsid w:val="00096D12"/>
    <w:rsid w:val="000A2889"/>
    <w:rsid w:val="000A2D4D"/>
    <w:rsid w:val="000A42DD"/>
    <w:rsid w:val="000A559D"/>
    <w:rsid w:val="000A6BEC"/>
    <w:rsid w:val="000A7F30"/>
    <w:rsid w:val="000B1258"/>
    <w:rsid w:val="000B3206"/>
    <w:rsid w:val="000B463C"/>
    <w:rsid w:val="000B4CE2"/>
    <w:rsid w:val="000B7703"/>
    <w:rsid w:val="000B7CE5"/>
    <w:rsid w:val="000C096C"/>
    <w:rsid w:val="000C198A"/>
    <w:rsid w:val="000C19B4"/>
    <w:rsid w:val="000C5522"/>
    <w:rsid w:val="000C626D"/>
    <w:rsid w:val="000C6C60"/>
    <w:rsid w:val="000C6D23"/>
    <w:rsid w:val="000D166C"/>
    <w:rsid w:val="000D1750"/>
    <w:rsid w:val="000D357A"/>
    <w:rsid w:val="000D4FC4"/>
    <w:rsid w:val="000E02F5"/>
    <w:rsid w:val="000E183D"/>
    <w:rsid w:val="000E1E8C"/>
    <w:rsid w:val="000E3A9A"/>
    <w:rsid w:val="000E611D"/>
    <w:rsid w:val="000F11A1"/>
    <w:rsid w:val="000F12C8"/>
    <w:rsid w:val="000F17CD"/>
    <w:rsid w:val="000F4639"/>
    <w:rsid w:val="000F58EE"/>
    <w:rsid w:val="000F7044"/>
    <w:rsid w:val="000F7DEE"/>
    <w:rsid w:val="001000E2"/>
    <w:rsid w:val="00100BE4"/>
    <w:rsid w:val="001024F8"/>
    <w:rsid w:val="001025BC"/>
    <w:rsid w:val="001034C0"/>
    <w:rsid w:val="00104ACD"/>
    <w:rsid w:val="00105603"/>
    <w:rsid w:val="00107726"/>
    <w:rsid w:val="00110D2C"/>
    <w:rsid w:val="0011292F"/>
    <w:rsid w:val="00114112"/>
    <w:rsid w:val="00120A9A"/>
    <w:rsid w:val="0012204E"/>
    <w:rsid w:val="00122DBF"/>
    <w:rsid w:val="00124D0F"/>
    <w:rsid w:val="00125ADB"/>
    <w:rsid w:val="00126934"/>
    <w:rsid w:val="00127CE6"/>
    <w:rsid w:val="00130849"/>
    <w:rsid w:val="00132ED3"/>
    <w:rsid w:val="001334B6"/>
    <w:rsid w:val="00134337"/>
    <w:rsid w:val="001359B5"/>
    <w:rsid w:val="00136141"/>
    <w:rsid w:val="00137069"/>
    <w:rsid w:val="00141572"/>
    <w:rsid w:val="00143194"/>
    <w:rsid w:val="0014465E"/>
    <w:rsid w:val="00146B44"/>
    <w:rsid w:val="00147652"/>
    <w:rsid w:val="001533BA"/>
    <w:rsid w:val="00154CC5"/>
    <w:rsid w:val="00155CAB"/>
    <w:rsid w:val="00155D13"/>
    <w:rsid w:val="00157775"/>
    <w:rsid w:val="001640D9"/>
    <w:rsid w:val="00164F79"/>
    <w:rsid w:val="00165A58"/>
    <w:rsid w:val="001665A2"/>
    <w:rsid w:val="00170107"/>
    <w:rsid w:val="00177464"/>
    <w:rsid w:val="001809F5"/>
    <w:rsid w:val="00183640"/>
    <w:rsid w:val="00183D32"/>
    <w:rsid w:val="00184069"/>
    <w:rsid w:val="0018444F"/>
    <w:rsid w:val="00184735"/>
    <w:rsid w:val="0018729E"/>
    <w:rsid w:val="00187EB0"/>
    <w:rsid w:val="00190365"/>
    <w:rsid w:val="00190E25"/>
    <w:rsid w:val="00191FED"/>
    <w:rsid w:val="00192307"/>
    <w:rsid w:val="001927D3"/>
    <w:rsid w:val="00192A26"/>
    <w:rsid w:val="00192D21"/>
    <w:rsid w:val="00193700"/>
    <w:rsid w:val="001A16CF"/>
    <w:rsid w:val="001A1F46"/>
    <w:rsid w:val="001A1FE6"/>
    <w:rsid w:val="001A50DB"/>
    <w:rsid w:val="001A55BA"/>
    <w:rsid w:val="001A6656"/>
    <w:rsid w:val="001A7AED"/>
    <w:rsid w:val="001B0384"/>
    <w:rsid w:val="001B1672"/>
    <w:rsid w:val="001B3AEE"/>
    <w:rsid w:val="001B639A"/>
    <w:rsid w:val="001B696E"/>
    <w:rsid w:val="001B6DF0"/>
    <w:rsid w:val="001C01EB"/>
    <w:rsid w:val="001C09AE"/>
    <w:rsid w:val="001C11CA"/>
    <w:rsid w:val="001C1889"/>
    <w:rsid w:val="001C3B50"/>
    <w:rsid w:val="001C61E5"/>
    <w:rsid w:val="001D033D"/>
    <w:rsid w:val="001D1430"/>
    <w:rsid w:val="001D153F"/>
    <w:rsid w:val="001D24AA"/>
    <w:rsid w:val="001D2EBF"/>
    <w:rsid w:val="001D5DA7"/>
    <w:rsid w:val="001D67E4"/>
    <w:rsid w:val="001E04D7"/>
    <w:rsid w:val="001E0DF3"/>
    <w:rsid w:val="001E23BA"/>
    <w:rsid w:val="001E2B5D"/>
    <w:rsid w:val="001E76C4"/>
    <w:rsid w:val="001E77D3"/>
    <w:rsid w:val="001F06BF"/>
    <w:rsid w:val="001F1BC0"/>
    <w:rsid w:val="001F40E9"/>
    <w:rsid w:val="001F446A"/>
    <w:rsid w:val="001F48EC"/>
    <w:rsid w:val="001F49C5"/>
    <w:rsid w:val="001F7F6A"/>
    <w:rsid w:val="00201750"/>
    <w:rsid w:val="00201E05"/>
    <w:rsid w:val="00204353"/>
    <w:rsid w:val="0020489E"/>
    <w:rsid w:val="00204BA0"/>
    <w:rsid w:val="002053DE"/>
    <w:rsid w:val="00205B4B"/>
    <w:rsid w:val="00206EE6"/>
    <w:rsid w:val="00207929"/>
    <w:rsid w:val="00207DC0"/>
    <w:rsid w:val="00212784"/>
    <w:rsid w:val="00217850"/>
    <w:rsid w:val="00217FFB"/>
    <w:rsid w:val="00220565"/>
    <w:rsid w:val="00221787"/>
    <w:rsid w:val="00222012"/>
    <w:rsid w:val="002221B1"/>
    <w:rsid w:val="00223299"/>
    <w:rsid w:val="0022396B"/>
    <w:rsid w:val="00225C5D"/>
    <w:rsid w:val="00226724"/>
    <w:rsid w:val="00226822"/>
    <w:rsid w:val="00227641"/>
    <w:rsid w:val="00231918"/>
    <w:rsid w:val="00232060"/>
    <w:rsid w:val="002328C5"/>
    <w:rsid w:val="00234CF6"/>
    <w:rsid w:val="0023637C"/>
    <w:rsid w:val="00237229"/>
    <w:rsid w:val="002374D7"/>
    <w:rsid w:val="00244242"/>
    <w:rsid w:val="00245253"/>
    <w:rsid w:val="00245299"/>
    <w:rsid w:val="002456CB"/>
    <w:rsid w:val="002462F7"/>
    <w:rsid w:val="00246DC2"/>
    <w:rsid w:val="00250507"/>
    <w:rsid w:val="0025191B"/>
    <w:rsid w:val="00251EC4"/>
    <w:rsid w:val="00252458"/>
    <w:rsid w:val="00254585"/>
    <w:rsid w:val="00255785"/>
    <w:rsid w:val="00257C60"/>
    <w:rsid w:val="00261628"/>
    <w:rsid w:val="002619FF"/>
    <w:rsid w:val="00262818"/>
    <w:rsid w:val="00262AE1"/>
    <w:rsid w:val="002652C4"/>
    <w:rsid w:val="00270D21"/>
    <w:rsid w:val="002723F7"/>
    <w:rsid w:val="0027332E"/>
    <w:rsid w:val="00280374"/>
    <w:rsid w:val="0028699D"/>
    <w:rsid w:val="002905D1"/>
    <w:rsid w:val="00290752"/>
    <w:rsid w:val="00297CD7"/>
    <w:rsid w:val="002A0364"/>
    <w:rsid w:val="002A038C"/>
    <w:rsid w:val="002A04BE"/>
    <w:rsid w:val="002A0AFC"/>
    <w:rsid w:val="002A1DE8"/>
    <w:rsid w:val="002A443B"/>
    <w:rsid w:val="002A55AC"/>
    <w:rsid w:val="002B0429"/>
    <w:rsid w:val="002B0DC6"/>
    <w:rsid w:val="002B1D7D"/>
    <w:rsid w:val="002B3DB0"/>
    <w:rsid w:val="002B5DFD"/>
    <w:rsid w:val="002B7112"/>
    <w:rsid w:val="002B7DEC"/>
    <w:rsid w:val="002C1BA2"/>
    <w:rsid w:val="002C35FE"/>
    <w:rsid w:val="002C4550"/>
    <w:rsid w:val="002C53E3"/>
    <w:rsid w:val="002C55CE"/>
    <w:rsid w:val="002C68F8"/>
    <w:rsid w:val="002D0E8A"/>
    <w:rsid w:val="002D1870"/>
    <w:rsid w:val="002D43C6"/>
    <w:rsid w:val="002D6790"/>
    <w:rsid w:val="002E2356"/>
    <w:rsid w:val="002E2D98"/>
    <w:rsid w:val="002E35B7"/>
    <w:rsid w:val="002E403D"/>
    <w:rsid w:val="002E4F1B"/>
    <w:rsid w:val="002E7768"/>
    <w:rsid w:val="002E7DBF"/>
    <w:rsid w:val="002F5F42"/>
    <w:rsid w:val="00300765"/>
    <w:rsid w:val="0030197C"/>
    <w:rsid w:val="003030FD"/>
    <w:rsid w:val="003036DC"/>
    <w:rsid w:val="00304128"/>
    <w:rsid w:val="00310B25"/>
    <w:rsid w:val="00312E00"/>
    <w:rsid w:val="00314B23"/>
    <w:rsid w:val="0031782B"/>
    <w:rsid w:val="003178B6"/>
    <w:rsid w:val="00321E57"/>
    <w:rsid w:val="003242F5"/>
    <w:rsid w:val="00324DED"/>
    <w:rsid w:val="00324E9B"/>
    <w:rsid w:val="00326752"/>
    <w:rsid w:val="00335535"/>
    <w:rsid w:val="00340BA3"/>
    <w:rsid w:val="003417D0"/>
    <w:rsid w:val="00341C42"/>
    <w:rsid w:val="003422D1"/>
    <w:rsid w:val="00346542"/>
    <w:rsid w:val="00346907"/>
    <w:rsid w:val="00346ECE"/>
    <w:rsid w:val="00347DFF"/>
    <w:rsid w:val="00351929"/>
    <w:rsid w:val="00352863"/>
    <w:rsid w:val="00353695"/>
    <w:rsid w:val="00353FB8"/>
    <w:rsid w:val="003550D9"/>
    <w:rsid w:val="00355ECB"/>
    <w:rsid w:val="00356B94"/>
    <w:rsid w:val="00357504"/>
    <w:rsid w:val="003604DF"/>
    <w:rsid w:val="00361614"/>
    <w:rsid w:val="00361DFC"/>
    <w:rsid w:val="0036202D"/>
    <w:rsid w:val="00362523"/>
    <w:rsid w:val="003632A0"/>
    <w:rsid w:val="003643A8"/>
    <w:rsid w:val="00365D38"/>
    <w:rsid w:val="003666DC"/>
    <w:rsid w:val="003703CF"/>
    <w:rsid w:val="003706E4"/>
    <w:rsid w:val="0037579D"/>
    <w:rsid w:val="00375979"/>
    <w:rsid w:val="00375F52"/>
    <w:rsid w:val="00380311"/>
    <w:rsid w:val="0038053B"/>
    <w:rsid w:val="00381190"/>
    <w:rsid w:val="00381BAA"/>
    <w:rsid w:val="00382F52"/>
    <w:rsid w:val="003833C5"/>
    <w:rsid w:val="00384F68"/>
    <w:rsid w:val="00387888"/>
    <w:rsid w:val="00390352"/>
    <w:rsid w:val="00390449"/>
    <w:rsid w:val="003908D3"/>
    <w:rsid w:val="00390D20"/>
    <w:rsid w:val="00391789"/>
    <w:rsid w:val="00391E70"/>
    <w:rsid w:val="003920D3"/>
    <w:rsid w:val="003928EA"/>
    <w:rsid w:val="0039331A"/>
    <w:rsid w:val="00394860"/>
    <w:rsid w:val="00395D05"/>
    <w:rsid w:val="00396EC5"/>
    <w:rsid w:val="003A07A6"/>
    <w:rsid w:val="003A262B"/>
    <w:rsid w:val="003A2B00"/>
    <w:rsid w:val="003A5A2B"/>
    <w:rsid w:val="003A658B"/>
    <w:rsid w:val="003A69BF"/>
    <w:rsid w:val="003B06C2"/>
    <w:rsid w:val="003B0D1A"/>
    <w:rsid w:val="003B1616"/>
    <w:rsid w:val="003B3713"/>
    <w:rsid w:val="003B5966"/>
    <w:rsid w:val="003B672B"/>
    <w:rsid w:val="003B6D31"/>
    <w:rsid w:val="003B70D5"/>
    <w:rsid w:val="003B72BA"/>
    <w:rsid w:val="003B7502"/>
    <w:rsid w:val="003B768A"/>
    <w:rsid w:val="003B7C85"/>
    <w:rsid w:val="003C235B"/>
    <w:rsid w:val="003C2573"/>
    <w:rsid w:val="003C3667"/>
    <w:rsid w:val="003C3869"/>
    <w:rsid w:val="003C4D01"/>
    <w:rsid w:val="003D12AB"/>
    <w:rsid w:val="003D14D2"/>
    <w:rsid w:val="003D19D2"/>
    <w:rsid w:val="003D41FE"/>
    <w:rsid w:val="003D4C22"/>
    <w:rsid w:val="003D4E00"/>
    <w:rsid w:val="003D5380"/>
    <w:rsid w:val="003E1402"/>
    <w:rsid w:val="003E3C1A"/>
    <w:rsid w:val="003E3CED"/>
    <w:rsid w:val="003E5DB5"/>
    <w:rsid w:val="003F0D06"/>
    <w:rsid w:val="003F109D"/>
    <w:rsid w:val="003F458C"/>
    <w:rsid w:val="003F45DB"/>
    <w:rsid w:val="003F5F26"/>
    <w:rsid w:val="003F646B"/>
    <w:rsid w:val="003F6CD8"/>
    <w:rsid w:val="003F7BBB"/>
    <w:rsid w:val="003F7C3B"/>
    <w:rsid w:val="00400945"/>
    <w:rsid w:val="00401848"/>
    <w:rsid w:val="0040362B"/>
    <w:rsid w:val="00405069"/>
    <w:rsid w:val="004055E4"/>
    <w:rsid w:val="00410ED3"/>
    <w:rsid w:val="004115D5"/>
    <w:rsid w:val="0041221E"/>
    <w:rsid w:val="004132B1"/>
    <w:rsid w:val="00413DA5"/>
    <w:rsid w:val="00414C5F"/>
    <w:rsid w:val="00415085"/>
    <w:rsid w:val="004206F0"/>
    <w:rsid w:val="004212BE"/>
    <w:rsid w:val="004218BE"/>
    <w:rsid w:val="00422033"/>
    <w:rsid w:val="004223A1"/>
    <w:rsid w:val="00423CA0"/>
    <w:rsid w:val="00423F3C"/>
    <w:rsid w:val="00425D4E"/>
    <w:rsid w:val="0042696A"/>
    <w:rsid w:val="004273A6"/>
    <w:rsid w:val="00427A09"/>
    <w:rsid w:val="00430E43"/>
    <w:rsid w:val="004311DE"/>
    <w:rsid w:val="00431C1E"/>
    <w:rsid w:val="00431CEE"/>
    <w:rsid w:val="004326EB"/>
    <w:rsid w:val="00432995"/>
    <w:rsid w:val="00432FDE"/>
    <w:rsid w:val="00434595"/>
    <w:rsid w:val="00437327"/>
    <w:rsid w:val="004373A2"/>
    <w:rsid w:val="00443BE2"/>
    <w:rsid w:val="00447046"/>
    <w:rsid w:val="004478C2"/>
    <w:rsid w:val="00451213"/>
    <w:rsid w:val="00451F45"/>
    <w:rsid w:val="004538B4"/>
    <w:rsid w:val="00454438"/>
    <w:rsid w:val="0045607C"/>
    <w:rsid w:val="00460454"/>
    <w:rsid w:val="004612B4"/>
    <w:rsid w:val="00462137"/>
    <w:rsid w:val="00462818"/>
    <w:rsid w:val="00462E29"/>
    <w:rsid w:val="004655E1"/>
    <w:rsid w:val="00465A8F"/>
    <w:rsid w:val="00466CAE"/>
    <w:rsid w:val="004671EF"/>
    <w:rsid w:val="00467DC1"/>
    <w:rsid w:val="00470E4B"/>
    <w:rsid w:val="004724EC"/>
    <w:rsid w:val="004726E6"/>
    <w:rsid w:val="00472C23"/>
    <w:rsid w:val="004735D9"/>
    <w:rsid w:val="004749C9"/>
    <w:rsid w:val="00477FC5"/>
    <w:rsid w:val="00480B2A"/>
    <w:rsid w:val="00480CB6"/>
    <w:rsid w:val="00480D3A"/>
    <w:rsid w:val="00481DC8"/>
    <w:rsid w:val="00482F65"/>
    <w:rsid w:val="0048320B"/>
    <w:rsid w:val="00483803"/>
    <w:rsid w:val="004847BE"/>
    <w:rsid w:val="004872B8"/>
    <w:rsid w:val="00490FA2"/>
    <w:rsid w:val="004923E2"/>
    <w:rsid w:val="00493BB4"/>
    <w:rsid w:val="00497423"/>
    <w:rsid w:val="004A07FF"/>
    <w:rsid w:val="004A1733"/>
    <w:rsid w:val="004A2E6A"/>
    <w:rsid w:val="004A4A44"/>
    <w:rsid w:val="004A668C"/>
    <w:rsid w:val="004B0112"/>
    <w:rsid w:val="004B0CD0"/>
    <w:rsid w:val="004B198A"/>
    <w:rsid w:val="004B219F"/>
    <w:rsid w:val="004B3D73"/>
    <w:rsid w:val="004B47D7"/>
    <w:rsid w:val="004B4CC6"/>
    <w:rsid w:val="004B54F3"/>
    <w:rsid w:val="004B6359"/>
    <w:rsid w:val="004B7F6D"/>
    <w:rsid w:val="004C1DDF"/>
    <w:rsid w:val="004C1E8E"/>
    <w:rsid w:val="004C2436"/>
    <w:rsid w:val="004C2CEA"/>
    <w:rsid w:val="004C2E6A"/>
    <w:rsid w:val="004C3965"/>
    <w:rsid w:val="004C5415"/>
    <w:rsid w:val="004C5C3B"/>
    <w:rsid w:val="004C5E97"/>
    <w:rsid w:val="004C63C2"/>
    <w:rsid w:val="004C6845"/>
    <w:rsid w:val="004C7B48"/>
    <w:rsid w:val="004C7E79"/>
    <w:rsid w:val="004C7EC7"/>
    <w:rsid w:val="004D1678"/>
    <w:rsid w:val="004D331C"/>
    <w:rsid w:val="004D5363"/>
    <w:rsid w:val="004E02E4"/>
    <w:rsid w:val="004E11E6"/>
    <w:rsid w:val="004E3FA3"/>
    <w:rsid w:val="004E4E31"/>
    <w:rsid w:val="004E60CB"/>
    <w:rsid w:val="004F0C35"/>
    <w:rsid w:val="004F1709"/>
    <w:rsid w:val="004F395E"/>
    <w:rsid w:val="004F40C1"/>
    <w:rsid w:val="004F6882"/>
    <w:rsid w:val="004F725A"/>
    <w:rsid w:val="0050160A"/>
    <w:rsid w:val="00502063"/>
    <w:rsid w:val="005038DD"/>
    <w:rsid w:val="00504445"/>
    <w:rsid w:val="00507910"/>
    <w:rsid w:val="00511497"/>
    <w:rsid w:val="00512838"/>
    <w:rsid w:val="00512FF1"/>
    <w:rsid w:val="00517B44"/>
    <w:rsid w:val="0052157F"/>
    <w:rsid w:val="0052274C"/>
    <w:rsid w:val="005240FF"/>
    <w:rsid w:val="00525CC2"/>
    <w:rsid w:val="005263CF"/>
    <w:rsid w:val="00527EF5"/>
    <w:rsid w:val="0053120A"/>
    <w:rsid w:val="005337C9"/>
    <w:rsid w:val="00536852"/>
    <w:rsid w:val="00536CF6"/>
    <w:rsid w:val="00543630"/>
    <w:rsid w:val="00546BD1"/>
    <w:rsid w:val="0055184A"/>
    <w:rsid w:val="005518AB"/>
    <w:rsid w:val="005529B0"/>
    <w:rsid w:val="00552F95"/>
    <w:rsid w:val="00554E1B"/>
    <w:rsid w:val="005555D3"/>
    <w:rsid w:val="00556798"/>
    <w:rsid w:val="00557564"/>
    <w:rsid w:val="00560A61"/>
    <w:rsid w:val="00561D6B"/>
    <w:rsid w:val="00561F6D"/>
    <w:rsid w:val="00562FBB"/>
    <w:rsid w:val="00563B38"/>
    <w:rsid w:val="0056571B"/>
    <w:rsid w:val="005668B0"/>
    <w:rsid w:val="005704C9"/>
    <w:rsid w:val="0057559A"/>
    <w:rsid w:val="0058047B"/>
    <w:rsid w:val="00581441"/>
    <w:rsid w:val="005856FE"/>
    <w:rsid w:val="005857F1"/>
    <w:rsid w:val="0059014F"/>
    <w:rsid w:val="005905CA"/>
    <w:rsid w:val="005908E7"/>
    <w:rsid w:val="0059147C"/>
    <w:rsid w:val="00591C1D"/>
    <w:rsid w:val="00593D74"/>
    <w:rsid w:val="005A1966"/>
    <w:rsid w:val="005A3268"/>
    <w:rsid w:val="005A3EE5"/>
    <w:rsid w:val="005A5D71"/>
    <w:rsid w:val="005A6867"/>
    <w:rsid w:val="005A7B7F"/>
    <w:rsid w:val="005A7CD9"/>
    <w:rsid w:val="005B13E6"/>
    <w:rsid w:val="005B2878"/>
    <w:rsid w:val="005B3721"/>
    <w:rsid w:val="005B3F28"/>
    <w:rsid w:val="005B4D92"/>
    <w:rsid w:val="005B5539"/>
    <w:rsid w:val="005B5AF3"/>
    <w:rsid w:val="005C083A"/>
    <w:rsid w:val="005C1FDF"/>
    <w:rsid w:val="005C206A"/>
    <w:rsid w:val="005C2361"/>
    <w:rsid w:val="005C3B9A"/>
    <w:rsid w:val="005C5E0F"/>
    <w:rsid w:val="005D0251"/>
    <w:rsid w:val="005D1B62"/>
    <w:rsid w:val="005D1DED"/>
    <w:rsid w:val="005D3C2F"/>
    <w:rsid w:val="005D43D8"/>
    <w:rsid w:val="005D4D2C"/>
    <w:rsid w:val="005D58DE"/>
    <w:rsid w:val="005D5F11"/>
    <w:rsid w:val="005D7671"/>
    <w:rsid w:val="005D775A"/>
    <w:rsid w:val="005E1126"/>
    <w:rsid w:val="005E5339"/>
    <w:rsid w:val="005E5481"/>
    <w:rsid w:val="005E5A05"/>
    <w:rsid w:val="005E6C8C"/>
    <w:rsid w:val="005F0B2B"/>
    <w:rsid w:val="005F0C89"/>
    <w:rsid w:val="005F27A9"/>
    <w:rsid w:val="005F2F7C"/>
    <w:rsid w:val="005F3550"/>
    <w:rsid w:val="005F3AA6"/>
    <w:rsid w:val="005F5CC2"/>
    <w:rsid w:val="005F65A0"/>
    <w:rsid w:val="005F78E6"/>
    <w:rsid w:val="00600F9F"/>
    <w:rsid w:val="00603921"/>
    <w:rsid w:val="00603CAF"/>
    <w:rsid w:val="006043AF"/>
    <w:rsid w:val="006053A9"/>
    <w:rsid w:val="00605ECA"/>
    <w:rsid w:val="00606FA5"/>
    <w:rsid w:val="0060716F"/>
    <w:rsid w:val="0060741B"/>
    <w:rsid w:val="00613FB5"/>
    <w:rsid w:val="00614463"/>
    <w:rsid w:val="00615A32"/>
    <w:rsid w:val="006162B1"/>
    <w:rsid w:val="00616A94"/>
    <w:rsid w:val="00617030"/>
    <w:rsid w:val="0062189B"/>
    <w:rsid w:val="00624D72"/>
    <w:rsid w:val="00625458"/>
    <w:rsid w:val="00625D91"/>
    <w:rsid w:val="00631608"/>
    <w:rsid w:val="00631F8E"/>
    <w:rsid w:val="00632207"/>
    <w:rsid w:val="0063774C"/>
    <w:rsid w:val="0064022F"/>
    <w:rsid w:val="00641C93"/>
    <w:rsid w:val="00642DC9"/>
    <w:rsid w:val="00643145"/>
    <w:rsid w:val="006460AF"/>
    <w:rsid w:val="00647CA4"/>
    <w:rsid w:val="006514F3"/>
    <w:rsid w:val="0065182A"/>
    <w:rsid w:val="00652AB5"/>
    <w:rsid w:val="00653A66"/>
    <w:rsid w:val="00653BFD"/>
    <w:rsid w:val="006556AF"/>
    <w:rsid w:val="00655B75"/>
    <w:rsid w:val="0065663F"/>
    <w:rsid w:val="00657141"/>
    <w:rsid w:val="00657363"/>
    <w:rsid w:val="006603F8"/>
    <w:rsid w:val="006619C4"/>
    <w:rsid w:val="00663C32"/>
    <w:rsid w:val="006653C2"/>
    <w:rsid w:val="00670585"/>
    <w:rsid w:val="006706E8"/>
    <w:rsid w:val="00670937"/>
    <w:rsid w:val="00670DDC"/>
    <w:rsid w:val="0067213C"/>
    <w:rsid w:val="00673B84"/>
    <w:rsid w:val="00675A43"/>
    <w:rsid w:val="00676D86"/>
    <w:rsid w:val="00677FBC"/>
    <w:rsid w:val="0068070F"/>
    <w:rsid w:val="00680D82"/>
    <w:rsid w:val="006818CD"/>
    <w:rsid w:val="006821C8"/>
    <w:rsid w:val="00683CB4"/>
    <w:rsid w:val="006848D6"/>
    <w:rsid w:val="00684F41"/>
    <w:rsid w:val="006874F7"/>
    <w:rsid w:val="00687DBD"/>
    <w:rsid w:val="006919A1"/>
    <w:rsid w:val="00695A5B"/>
    <w:rsid w:val="0069689A"/>
    <w:rsid w:val="00696E8F"/>
    <w:rsid w:val="00697F88"/>
    <w:rsid w:val="006A24DB"/>
    <w:rsid w:val="006A2627"/>
    <w:rsid w:val="006A403A"/>
    <w:rsid w:val="006A50DF"/>
    <w:rsid w:val="006A761B"/>
    <w:rsid w:val="006B09AF"/>
    <w:rsid w:val="006B0E76"/>
    <w:rsid w:val="006B2D04"/>
    <w:rsid w:val="006B3D1C"/>
    <w:rsid w:val="006B6217"/>
    <w:rsid w:val="006B6F11"/>
    <w:rsid w:val="006B740E"/>
    <w:rsid w:val="006C06B2"/>
    <w:rsid w:val="006C21CE"/>
    <w:rsid w:val="006C2783"/>
    <w:rsid w:val="006C3B4D"/>
    <w:rsid w:val="006C3D60"/>
    <w:rsid w:val="006C4700"/>
    <w:rsid w:val="006C5133"/>
    <w:rsid w:val="006C5BB2"/>
    <w:rsid w:val="006C5EDF"/>
    <w:rsid w:val="006C6331"/>
    <w:rsid w:val="006C73CF"/>
    <w:rsid w:val="006C7DD3"/>
    <w:rsid w:val="006D2BD7"/>
    <w:rsid w:val="006D3EEF"/>
    <w:rsid w:val="006E1CA6"/>
    <w:rsid w:val="006E228F"/>
    <w:rsid w:val="006E33F2"/>
    <w:rsid w:val="006E3C1F"/>
    <w:rsid w:val="006E62F5"/>
    <w:rsid w:val="006E6EB9"/>
    <w:rsid w:val="006E75FE"/>
    <w:rsid w:val="006E7F0A"/>
    <w:rsid w:val="006F10A2"/>
    <w:rsid w:val="006F1C0F"/>
    <w:rsid w:val="006F75F1"/>
    <w:rsid w:val="00700A5A"/>
    <w:rsid w:val="00701036"/>
    <w:rsid w:val="00702772"/>
    <w:rsid w:val="00702F45"/>
    <w:rsid w:val="007033A6"/>
    <w:rsid w:val="007050E5"/>
    <w:rsid w:val="00706BA8"/>
    <w:rsid w:val="007073DE"/>
    <w:rsid w:val="007102E0"/>
    <w:rsid w:val="007105EA"/>
    <w:rsid w:val="00714B50"/>
    <w:rsid w:val="007151FA"/>
    <w:rsid w:val="00716588"/>
    <w:rsid w:val="00716BB0"/>
    <w:rsid w:val="00721023"/>
    <w:rsid w:val="0072394D"/>
    <w:rsid w:val="0072491D"/>
    <w:rsid w:val="00725BCD"/>
    <w:rsid w:val="0073052F"/>
    <w:rsid w:val="00730E96"/>
    <w:rsid w:val="0073141F"/>
    <w:rsid w:val="0073596D"/>
    <w:rsid w:val="007400EE"/>
    <w:rsid w:val="00740B16"/>
    <w:rsid w:val="00746520"/>
    <w:rsid w:val="00747315"/>
    <w:rsid w:val="00750E8C"/>
    <w:rsid w:val="00752C88"/>
    <w:rsid w:val="00753448"/>
    <w:rsid w:val="0075359B"/>
    <w:rsid w:val="00755A40"/>
    <w:rsid w:val="00756302"/>
    <w:rsid w:val="00763A1B"/>
    <w:rsid w:val="00763A9F"/>
    <w:rsid w:val="00766AEB"/>
    <w:rsid w:val="00767FBA"/>
    <w:rsid w:val="0077146D"/>
    <w:rsid w:val="00771537"/>
    <w:rsid w:val="007715A6"/>
    <w:rsid w:val="00771E87"/>
    <w:rsid w:val="007720F2"/>
    <w:rsid w:val="007729C9"/>
    <w:rsid w:val="00772B4B"/>
    <w:rsid w:val="00773DCA"/>
    <w:rsid w:val="00774D51"/>
    <w:rsid w:val="00776E08"/>
    <w:rsid w:val="00776F39"/>
    <w:rsid w:val="007849AC"/>
    <w:rsid w:val="00786CA4"/>
    <w:rsid w:val="00790B40"/>
    <w:rsid w:val="00791355"/>
    <w:rsid w:val="00792282"/>
    <w:rsid w:val="0079261E"/>
    <w:rsid w:val="007954DE"/>
    <w:rsid w:val="00795E96"/>
    <w:rsid w:val="00797E5A"/>
    <w:rsid w:val="007A126D"/>
    <w:rsid w:val="007A12AF"/>
    <w:rsid w:val="007A6829"/>
    <w:rsid w:val="007B0072"/>
    <w:rsid w:val="007B0C1B"/>
    <w:rsid w:val="007B1B1A"/>
    <w:rsid w:val="007B291E"/>
    <w:rsid w:val="007B3F8A"/>
    <w:rsid w:val="007B4475"/>
    <w:rsid w:val="007B74F5"/>
    <w:rsid w:val="007B7AC3"/>
    <w:rsid w:val="007C0334"/>
    <w:rsid w:val="007C1EE5"/>
    <w:rsid w:val="007C35D4"/>
    <w:rsid w:val="007D127B"/>
    <w:rsid w:val="007D1597"/>
    <w:rsid w:val="007D197D"/>
    <w:rsid w:val="007D6434"/>
    <w:rsid w:val="007D71CA"/>
    <w:rsid w:val="007D7463"/>
    <w:rsid w:val="007E0260"/>
    <w:rsid w:val="007E06AD"/>
    <w:rsid w:val="007E0AB1"/>
    <w:rsid w:val="007E22F3"/>
    <w:rsid w:val="007E26FE"/>
    <w:rsid w:val="007E32E3"/>
    <w:rsid w:val="007E338F"/>
    <w:rsid w:val="007E3526"/>
    <w:rsid w:val="007E38B7"/>
    <w:rsid w:val="007F1969"/>
    <w:rsid w:val="007F34BE"/>
    <w:rsid w:val="007F44BC"/>
    <w:rsid w:val="007F60B3"/>
    <w:rsid w:val="007F6164"/>
    <w:rsid w:val="008002D4"/>
    <w:rsid w:val="008008CD"/>
    <w:rsid w:val="00800E5D"/>
    <w:rsid w:val="00802160"/>
    <w:rsid w:val="0080299B"/>
    <w:rsid w:val="00803247"/>
    <w:rsid w:val="00804317"/>
    <w:rsid w:val="00805C1F"/>
    <w:rsid w:val="00805D5B"/>
    <w:rsid w:val="008068D3"/>
    <w:rsid w:val="00806979"/>
    <w:rsid w:val="00807218"/>
    <w:rsid w:val="00810329"/>
    <w:rsid w:val="0081197C"/>
    <w:rsid w:val="00812F5E"/>
    <w:rsid w:val="00813398"/>
    <w:rsid w:val="00814392"/>
    <w:rsid w:val="008167D5"/>
    <w:rsid w:val="00816C0A"/>
    <w:rsid w:val="00817C86"/>
    <w:rsid w:val="008230F3"/>
    <w:rsid w:val="008249D9"/>
    <w:rsid w:val="008255A6"/>
    <w:rsid w:val="00825E9F"/>
    <w:rsid w:val="0083250A"/>
    <w:rsid w:val="00832985"/>
    <w:rsid w:val="008340ED"/>
    <w:rsid w:val="0083645D"/>
    <w:rsid w:val="00842059"/>
    <w:rsid w:val="008420D6"/>
    <w:rsid w:val="008437EE"/>
    <w:rsid w:val="00843D93"/>
    <w:rsid w:val="00844537"/>
    <w:rsid w:val="008450B3"/>
    <w:rsid w:val="00845C39"/>
    <w:rsid w:val="00845D5F"/>
    <w:rsid w:val="00846F8C"/>
    <w:rsid w:val="0085018A"/>
    <w:rsid w:val="008535C4"/>
    <w:rsid w:val="0085389B"/>
    <w:rsid w:val="0085452A"/>
    <w:rsid w:val="00857A96"/>
    <w:rsid w:val="00857C7D"/>
    <w:rsid w:val="008648BA"/>
    <w:rsid w:val="0086496C"/>
    <w:rsid w:val="00865338"/>
    <w:rsid w:val="008658C3"/>
    <w:rsid w:val="00867434"/>
    <w:rsid w:val="00872310"/>
    <w:rsid w:val="00873E38"/>
    <w:rsid w:val="00875B46"/>
    <w:rsid w:val="0087678E"/>
    <w:rsid w:val="00881C1A"/>
    <w:rsid w:val="00884CB6"/>
    <w:rsid w:val="00893867"/>
    <w:rsid w:val="008941C9"/>
    <w:rsid w:val="008948FF"/>
    <w:rsid w:val="00894C36"/>
    <w:rsid w:val="00894DB6"/>
    <w:rsid w:val="00894F62"/>
    <w:rsid w:val="00895B98"/>
    <w:rsid w:val="00897E1E"/>
    <w:rsid w:val="008A0666"/>
    <w:rsid w:val="008A072C"/>
    <w:rsid w:val="008A0E57"/>
    <w:rsid w:val="008A37D0"/>
    <w:rsid w:val="008A39F5"/>
    <w:rsid w:val="008A564A"/>
    <w:rsid w:val="008B046F"/>
    <w:rsid w:val="008B08BD"/>
    <w:rsid w:val="008B1CB4"/>
    <w:rsid w:val="008B5FB1"/>
    <w:rsid w:val="008B641B"/>
    <w:rsid w:val="008B681A"/>
    <w:rsid w:val="008C18F0"/>
    <w:rsid w:val="008C1D42"/>
    <w:rsid w:val="008C1F6C"/>
    <w:rsid w:val="008C310A"/>
    <w:rsid w:val="008C334F"/>
    <w:rsid w:val="008C545D"/>
    <w:rsid w:val="008C5695"/>
    <w:rsid w:val="008C5A59"/>
    <w:rsid w:val="008C5CB5"/>
    <w:rsid w:val="008D0654"/>
    <w:rsid w:val="008D0EAC"/>
    <w:rsid w:val="008D128A"/>
    <w:rsid w:val="008D215D"/>
    <w:rsid w:val="008D2BCB"/>
    <w:rsid w:val="008D4F8E"/>
    <w:rsid w:val="008E2360"/>
    <w:rsid w:val="008E3108"/>
    <w:rsid w:val="008E5419"/>
    <w:rsid w:val="008E7D90"/>
    <w:rsid w:val="008F0988"/>
    <w:rsid w:val="008F11F9"/>
    <w:rsid w:val="008F23A9"/>
    <w:rsid w:val="008F45A3"/>
    <w:rsid w:val="008F45E2"/>
    <w:rsid w:val="008F4DF1"/>
    <w:rsid w:val="008F5D37"/>
    <w:rsid w:val="008F60EF"/>
    <w:rsid w:val="00900C53"/>
    <w:rsid w:val="00901627"/>
    <w:rsid w:val="00906C6C"/>
    <w:rsid w:val="00907535"/>
    <w:rsid w:val="00910F95"/>
    <w:rsid w:val="00911133"/>
    <w:rsid w:val="00911567"/>
    <w:rsid w:val="00912953"/>
    <w:rsid w:val="00914779"/>
    <w:rsid w:val="00915303"/>
    <w:rsid w:val="009153AB"/>
    <w:rsid w:val="00915A32"/>
    <w:rsid w:val="00917E44"/>
    <w:rsid w:val="00920425"/>
    <w:rsid w:val="00920459"/>
    <w:rsid w:val="00920CB7"/>
    <w:rsid w:val="00921B38"/>
    <w:rsid w:val="00926B53"/>
    <w:rsid w:val="00927C1B"/>
    <w:rsid w:val="009317A7"/>
    <w:rsid w:val="00932CFE"/>
    <w:rsid w:val="0093304F"/>
    <w:rsid w:val="0093502F"/>
    <w:rsid w:val="0093631C"/>
    <w:rsid w:val="009400F8"/>
    <w:rsid w:val="009411BF"/>
    <w:rsid w:val="00941374"/>
    <w:rsid w:val="00941489"/>
    <w:rsid w:val="00941D26"/>
    <w:rsid w:val="00942A2D"/>
    <w:rsid w:val="0095046B"/>
    <w:rsid w:val="009506CE"/>
    <w:rsid w:val="00950874"/>
    <w:rsid w:val="009518D5"/>
    <w:rsid w:val="00952796"/>
    <w:rsid w:val="00953035"/>
    <w:rsid w:val="0095512B"/>
    <w:rsid w:val="00955BD7"/>
    <w:rsid w:val="00955CBC"/>
    <w:rsid w:val="00960CCC"/>
    <w:rsid w:val="00963F63"/>
    <w:rsid w:val="0096583B"/>
    <w:rsid w:val="00967769"/>
    <w:rsid w:val="009709B0"/>
    <w:rsid w:val="00971A11"/>
    <w:rsid w:val="00971AE8"/>
    <w:rsid w:val="009720D9"/>
    <w:rsid w:val="0097271F"/>
    <w:rsid w:val="00972B60"/>
    <w:rsid w:val="00973EC3"/>
    <w:rsid w:val="00974692"/>
    <w:rsid w:val="009746DD"/>
    <w:rsid w:val="009813FA"/>
    <w:rsid w:val="00982502"/>
    <w:rsid w:val="00983B2C"/>
    <w:rsid w:val="009848EA"/>
    <w:rsid w:val="00984E61"/>
    <w:rsid w:val="009869EE"/>
    <w:rsid w:val="00987016"/>
    <w:rsid w:val="009876DD"/>
    <w:rsid w:val="009917B6"/>
    <w:rsid w:val="009919F1"/>
    <w:rsid w:val="00991AFF"/>
    <w:rsid w:val="009936DC"/>
    <w:rsid w:val="00993926"/>
    <w:rsid w:val="00997F6B"/>
    <w:rsid w:val="009A006F"/>
    <w:rsid w:val="009A3752"/>
    <w:rsid w:val="009A4B21"/>
    <w:rsid w:val="009A61A2"/>
    <w:rsid w:val="009A6CDC"/>
    <w:rsid w:val="009A6E9D"/>
    <w:rsid w:val="009B2FC0"/>
    <w:rsid w:val="009B495F"/>
    <w:rsid w:val="009B512A"/>
    <w:rsid w:val="009B651D"/>
    <w:rsid w:val="009B7348"/>
    <w:rsid w:val="009C14D9"/>
    <w:rsid w:val="009C3346"/>
    <w:rsid w:val="009C5C58"/>
    <w:rsid w:val="009C6671"/>
    <w:rsid w:val="009C7E51"/>
    <w:rsid w:val="009C7F06"/>
    <w:rsid w:val="009D0E4F"/>
    <w:rsid w:val="009D20B8"/>
    <w:rsid w:val="009D2824"/>
    <w:rsid w:val="009D6A64"/>
    <w:rsid w:val="009E32AD"/>
    <w:rsid w:val="009E32FB"/>
    <w:rsid w:val="009E3FB6"/>
    <w:rsid w:val="009E4A6F"/>
    <w:rsid w:val="009E5B68"/>
    <w:rsid w:val="009E5D8E"/>
    <w:rsid w:val="009E7A77"/>
    <w:rsid w:val="009F0736"/>
    <w:rsid w:val="009F2BE5"/>
    <w:rsid w:val="009F6D48"/>
    <w:rsid w:val="00A02193"/>
    <w:rsid w:val="00A02678"/>
    <w:rsid w:val="00A03A85"/>
    <w:rsid w:val="00A03EE7"/>
    <w:rsid w:val="00A04805"/>
    <w:rsid w:val="00A057DF"/>
    <w:rsid w:val="00A06E4A"/>
    <w:rsid w:val="00A07527"/>
    <w:rsid w:val="00A07A68"/>
    <w:rsid w:val="00A12243"/>
    <w:rsid w:val="00A1240B"/>
    <w:rsid w:val="00A12A10"/>
    <w:rsid w:val="00A14730"/>
    <w:rsid w:val="00A149E4"/>
    <w:rsid w:val="00A157B3"/>
    <w:rsid w:val="00A205F0"/>
    <w:rsid w:val="00A22515"/>
    <w:rsid w:val="00A22A93"/>
    <w:rsid w:val="00A2578B"/>
    <w:rsid w:val="00A266EC"/>
    <w:rsid w:val="00A27AEF"/>
    <w:rsid w:val="00A32668"/>
    <w:rsid w:val="00A34408"/>
    <w:rsid w:val="00A35B18"/>
    <w:rsid w:val="00A36348"/>
    <w:rsid w:val="00A3654D"/>
    <w:rsid w:val="00A36FA2"/>
    <w:rsid w:val="00A3706A"/>
    <w:rsid w:val="00A3728D"/>
    <w:rsid w:val="00A379B1"/>
    <w:rsid w:val="00A40482"/>
    <w:rsid w:val="00A42389"/>
    <w:rsid w:val="00A429EB"/>
    <w:rsid w:val="00A43462"/>
    <w:rsid w:val="00A47540"/>
    <w:rsid w:val="00A52A1D"/>
    <w:rsid w:val="00A52DCB"/>
    <w:rsid w:val="00A53065"/>
    <w:rsid w:val="00A54F41"/>
    <w:rsid w:val="00A55952"/>
    <w:rsid w:val="00A605FB"/>
    <w:rsid w:val="00A60D00"/>
    <w:rsid w:val="00A61F56"/>
    <w:rsid w:val="00A621D2"/>
    <w:rsid w:val="00A621FD"/>
    <w:rsid w:val="00A64839"/>
    <w:rsid w:val="00A66B00"/>
    <w:rsid w:val="00A72F47"/>
    <w:rsid w:val="00A74AF3"/>
    <w:rsid w:val="00A74B33"/>
    <w:rsid w:val="00A77948"/>
    <w:rsid w:val="00A83A8A"/>
    <w:rsid w:val="00A8404A"/>
    <w:rsid w:val="00A84CB5"/>
    <w:rsid w:val="00A853D2"/>
    <w:rsid w:val="00A86912"/>
    <w:rsid w:val="00A8780A"/>
    <w:rsid w:val="00A93A6C"/>
    <w:rsid w:val="00A9472B"/>
    <w:rsid w:val="00A969E5"/>
    <w:rsid w:val="00AA0B5C"/>
    <w:rsid w:val="00AA1A25"/>
    <w:rsid w:val="00AA1CED"/>
    <w:rsid w:val="00AA1EE8"/>
    <w:rsid w:val="00AA5570"/>
    <w:rsid w:val="00AA5D94"/>
    <w:rsid w:val="00AA62AC"/>
    <w:rsid w:val="00AA7B96"/>
    <w:rsid w:val="00AB0C16"/>
    <w:rsid w:val="00AB10D2"/>
    <w:rsid w:val="00AB11A6"/>
    <w:rsid w:val="00AB1F63"/>
    <w:rsid w:val="00AB3E42"/>
    <w:rsid w:val="00AB4A93"/>
    <w:rsid w:val="00AB5346"/>
    <w:rsid w:val="00AC1640"/>
    <w:rsid w:val="00AC2B4D"/>
    <w:rsid w:val="00AC480E"/>
    <w:rsid w:val="00AC4B07"/>
    <w:rsid w:val="00AC7E51"/>
    <w:rsid w:val="00AD1462"/>
    <w:rsid w:val="00AD1C81"/>
    <w:rsid w:val="00AD4EF9"/>
    <w:rsid w:val="00AD7866"/>
    <w:rsid w:val="00AD7CEB"/>
    <w:rsid w:val="00AE1D35"/>
    <w:rsid w:val="00AE1FE4"/>
    <w:rsid w:val="00AE3E06"/>
    <w:rsid w:val="00AE49D1"/>
    <w:rsid w:val="00AE4BBB"/>
    <w:rsid w:val="00AE564D"/>
    <w:rsid w:val="00AE79C1"/>
    <w:rsid w:val="00AF0A27"/>
    <w:rsid w:val="00AF15C4"/>
    <w:rsid w:val="00AF2468"/>
    <w:rsid w:val="00AF3943"/>
    <w:rsid w:val="00AF3C02"/>
    <w:rsid w:val="00AF5D50"/>
    <w:rsid w:val="00AF7770"/>
    <w:rsid w:val="00B010C5"/>
    <w:rsid w:val="00B01362"/>
    <w:rsid w:val="00B03834"/>
    <w:rsid w:val="00B04586"/>
    <w:rsid w:val="00B06EEF"/>
    <w:rsid w:val="00B0726B"/>
    <w:rsid w:val="00B1027D"/>
    <w:rsid w:val="00B11AC9"/>
    <w:rsid w:val="00B12343"/>
    <w:rsid w:val="00B12E82"/>
    <w:rsid w:val="00B13649"/>
    <w:rsid w:val="00B13D47"/>
    <w:rsid w:val="00B16DDF"/>
    <w:rsid w:val="00B16E21"/>
    <w:rsid w:val="00B17D83"/>
    <w:rsid w:val="00B20085"/>
    <w:rsid w:val="00B20AEC"/>
    <w:rsid w:val="00B21FD9"/>
    <w:rsid w:val="00B3248C"/>
    <w:rsid w:val="00B33A32"/>
    <w:rsid w:val="00B3466B"/>
    <w:rsid w:val="00B37D35"/>
    <w:rsid w:val="00B45B29"/>
    <w:rsid w:val="00B45DF6"/>
    <w:rsid w:val="00B51519"/>
    <w:rsid w:val="00B52728"/>
    <w:rsid w:val="00B52BF1"/>
    <w:rsid w:val="00B52E60"/>
    <w:rsid w:val="00B54728"/>
    <w:rsid w:val="00B569A4"/>
    <w:rsid w:val="00B577F7"/>
    <w:rsid w:val="00B57957"/>
    <w:rsid w:val="00B61F1C"/>
    <w:rsid w:val="00B63F65"/>
    <w:rsid w:val="00B644C4"/>
    <w:rsid w:val="00B703E9"/>
    <w:rsid w:val="00B70754"/>
    <w:rsid w:val="00B70815"/>
    <w:rsid w:val="00B70C0B"/>
    <w:rsid w:val="00B74495"/>
    <w:rsid w:val="00B76546"/>
    <w:rsid w:val="00B77209"/>
    <w:rsid w:val="00B77252"/>
    <w:rsid w:val="00B7750F"/>
    <w:rsid w:val="00B8030E"/>
    <w:rsid w:val="00B84C3C"/>
    <w:rsid w:val="00B8516B"/>
    <w:rsid w:val="00B854DC"/>
    <w:rsid w:val="00B85517"/>
    <w:rsid w:val="00B862CC"/>
    <w:rsid w:val="00B91643"/>
    <w:rsid w:val="00B925DC"/>
    <w:rsid w:val="00B94CED"/>
    <w:rsid w:val="00B94D0E"/>
    <w:rsid w:val="00BA3B4E"/>
    <w:rsid w:val="00BA3D7F"/>
    <w:rsid w:val="00BA406A"/>
    <w:rsid w:val="00BA4394"/>
    <w:rsid w:val="00BA5D7C"/>
    <w:rsid w:val="00BA67DB"/>
    <w:rsid w:val="00BA7F6B"/>
    <w:rsid w:val="00BB009E"/>
    <w:rsid w:val="00BB1539"/>
    <w:rsid w:val="00BB7DD1"/>
    <w:rsid w:val="00BC4ADD"/>
    <w:rsid w:val="00BC4AEE"/>
    <w:rsid w:val="00BC73A7"/>
    <w:rsid w:val="00BD0A34"/>
    <w:rsid w:val="00BD1A39"/>
    <w:rsid w:val="00BD2015"/>
    <w:rsid w:val="00BD223A"/>
    <w:rsid w:val="00BD2F4F"/>
    <w:rsid w:val="00BD5C07"/>
    <w:rsid w:val="00BD699A"/>
    <w:rsid w:val="00BE07C9"/>
    <w:rsid w:val="00BE248D"/>
    <w:rsid w:val="00BE368A"/>
    <w:rsid w:val="00BE5339"/>
    <w:rsid w:val="00BE53AF"/>
    <w:rsid w:val="00BE56CA"/>
    <w:rsid w:val="00BE63C4"/>
    <w:rsid w:val="00BE7024"/>
    <w:rsid w:val="00BF0524"/>
    <w:rsid w:val="00BF0AA2"/>
    <w:rsid w:val="00BF0F5A"/>
    <w:rsid w:val="00BF2268"/>
    <w:rsid w:val="00BF3CC7"/>
    <w:rsid w:val="00BF5317"/>
    <w:rsid w:val="00BF5A6C"/>
    <w:rsid w:val="00BF5E1D"/>
    <w:rsid w:val="00BF7716"/>
    <w:rsid w:val="00C01E19"/>
    <w:rsid w:val="00C0276F"/>
    <w:rsid w:val="00C06098"/>
    <w:rsid w:val="00C06375"/>
    <w:rsid w:val="00C071FD"/>
    <w:rsid w:val="00C0736A"/>
    <w:rsid w:val="00C14810"/>
    <w:rsid w:val="00C17AFC"/>
    <w:rsid w:val="00C20C28"/>
    <w:rsid w:val="00C20C7D"/>
    <w:rsid w:val="00C21165"/>
    <w:rsid w:val="00C232A7"/>
    <w:rsid w:val="00C256AA"/>
    <w:rsid w:val="00C27648"/>
    <w:rsid w:val="00C3032E"/>
    <w:rsid w:val="00C30510"/>
    <w:rsid w:val="00C307CD"/>
    <w:rsid w:val="00C31F2B"/>
    <w:rsid w:val="00C340DA"/>
    <w:rsid w:val="00C35F05"/>
    <w:rsid w:val="00C371DB"/>
    <w:rsid w:val="00C371F8"/>
    <w:rsid w:val="00C37AF2"/>
    <w:rsid w:val="00C404FB"/>
    <w:rsid w:val="00C41317"/>
    <w:rsid w:val="00C4284D"/>
    <w:rsid w:val="00C43E53"/>
    <w:rsid w:val="00C43F40"/>
    <w:rsid w:val="00C4444E"/>
    <w:rsid w:val="00C44C85"/>
    <w:rsid w:val="00C45776"/>
    <w:rsid w:val="00C45B33"/>
    <w:rsid w:val="00C5043C"/>
    <w:rsid w:val="00C5336A"/>
    <w:rsid w:val="00C54AED"/>
    <w:rsid w:val="00C56018"/>
    <w:rsid w:val="00C56C00"/>
    <w:rsid w:val="00C56C83"/>
    <w:rsid w:val="00C56DA1"/>
    <w:rsid w:val="00C57CC6"/>
    <w:rsid w:val="00C606DB"/>
    <w:rsid w:val="00C613A8"/>
    <w:rsid w:val="00C62ECC"/>
    <w:rsid w:val="00C637FA"/>
    <w:rsid w:val="00C647BE"/>
    <w:rsid w:val="00C64ABF"/>
    <w:rsid w:val="00C67973"/>
    <w:rsid w:val="00C67C6E"/>
    <w:rsid w:val="00C67CCA"/>
    <w:rsid w:val="00C67E45"/>
    <w:rsid w:val="00C70C56"/>
    <w:rsid w:val="00C71F38"/>
    <w:rsid w:val="00C75385"/>
    <w:rsid w:val="00C754B1"/>
    <w:rsid w:val="00C75576"/>
    <w:rsid w:val="00C77A6F"/>
    <w:rsid w:val="00C81C3E"/>
    <w:rsid w:val="00C8252E"/>
    <w:rsid w:val="00C82F3F"/>
    <w:rsid w:val="00C8645F"/>
    <w:rsid w:val="00C8777C"/>
    <w:rsid w:val="00C90774"/>
    <w:rsid w:val="00C91487"/>
    <w:rsid w:val="00C92B23"/>
    <w:rsid w:val="00C930DC"/>
    <w:rsid w:val="00C943ED"/>
    <w:rsid w:val="00C94BA1"/>
    <w:rsid w:val="00C950D7"/>
    <w:rsid w:val="00C9762B"/>
    <w:rsid w:val="00CA1D0F"/>
    <w:rsid w:val="00CA3975"/>
    <w:rsid w:val="00CA6657"/>
    <w:rsid w:val="00CA6741"/>
    <w:rsid w:val="00CA77A2"/>
    <w:rsid w:val="00CA7EAD"/>
    <w:rsid w:val="00CB0095"/>
    <w:rsid w:val="00CB2362"/>
    <w:rsid w:val="00CB6062"/>
    <w:rsid w:val="00CB72F9"/>
    <w:rsid w:val="00CC1A4E"/>
    <w:rsid w:val="00CC3696"/>
    <w:rsid w:val="00CC378B"/>
    <w:rsid w:val="00CC413A"/>
    <w:rsid w:val="00CD0595"/>
    <w:rsid w:val="00CD2869"/>
    <w:rsid w:val="00CD31D6"/>
    <w:rsid w:val="00CD455A"/>
    <w:rsid w:val="00CD48C1"/>
    <w:rsid w:val="00CD5150"/>
    <w:rsid w:val="00CD54FF"/>
    <w:rsid w:val="00CD6062"/>
    <w:rsid w:val="00CE12CF"/>
    <w:rsid w:val="00CE17D7"/>
    <w:rsid w:val="00CE255B"/>
    <w:rsid w:val="00CE43E1"/>
    <w:rsid w:val="00CE57E1"/>
    <w:rsid w:val="00CF41FF"/>
    <w:rsid w:val="00CF525F"/>
    <w:rsid w:val="00CF5776"/>
    <w:rsid w:val="00D000A4"/>
    <w:rsid w:val="00D0150B"/>
    <w:rsid w:val="00D04D19"/>
    <w:rsid w:val="00D05506"/>
    <w:rsid w:val="00D05886"/>
    <w:rsid w:val="00D05972"/>
    <w:rsid w:val="00D06CD7"/>
    <w:rsid w:val="00D072D5"/>
    <w:rsid w:val="00D1030E"/>
    <w:rsid w:val="00D12BFD"/>
    <w:rsid w:val="00D1429C"/>
    <w:rsid w:val="00D1431C"/>
    <w:rsid w:val="00D149F6"/>
    <w:rsid w:val="00D1596C"/>
    <w:rsid w:val="00D20117"/>
    <w:rsid w:val="00D20262"/>
    <w:rsid w:val="00D227F8"/>
    <w:rsid w:val="00D22F20"/>
    <w:rsid w:val="00D23059"/>
    <w:rsid w:val="00D24088"/>
    <w:rsid w:val="00D24FD6"/>
    <w:rsid w:val="00D2561F"/>
    <w:rsid w:val="00D268E5"/>
    <w:rsid w:val="00D275B1"/>
    <w:rsid w:val="00D30E49"/>
    <w:rsid w:val="00D32CD7"/>
    <w:rsid w:val="00D33B99"/>
    <w:rsid w:val="00D33FAC"/>
    <w:rsid w:val="00D360BF"/>
    <w:rsid w:val="00D3790A"/>
    <w:rsid w:val="00D4051E"/>
    <w:rsid w:val="00D40DD5"/>
    <w:rsid w:val="00D42CAA"/>
    <w:rsid w:val="00D4360C"/>
    <w:rsid w:val="00D449BD"/>
    <w:rsid w:val="00D45972"/>
    <w:rsid w:val="00D45AD0"/>
    <w:rsid w:val="00D46112"/>
    <w:rsid w:val="00D46C9A"/>
    <w:rsid w:val="00D47A19"/>
    <w:rsid w:val="00D526BE"/>
    <w:rsid w:val="00D52708"/>
    <w:rsid w:val="00D5470F"/>
    <w:rsid w:val="00D57176"/>
    <w:rsid w:val="00D60507"/>
    <w:rsid w:val="00D646CA"/>
    <w:rsid w:val="00D64E92"/>
    <w:rsid w:val="00D65C9F"/>
    <w:rsid w:val="00D661F3"/>
    <w:rsid w:val="00D67052"/>
    <w:rsid w:val="00D6732F"/>
    <w:rsid w:val="00D67944"/>
    <w:rsid w:val="00D67EDA"/>
    <w:rsid w:val="00D7086E"/>
    <w:rsid w:val="00D70B3C"/>
    <w:rsid w:val="00D71D7C"/>
    <w:rsid w:val="00D720E1"/>
    <w:rsid w:val="00D721D7"/>
    <w:rsid w:val="00D7244E"/>
    <w:rsid w:val="00D73E3D"/>
    <w:rsid w:val="00D7424C"/>
    <w:rsid w:val="00D74BE6"/>
    <w:rsid w:val="00D7768D"/>
    <w:rsid w:val="00D77F69"/>
    <w:rsid w:val="00D81FD8"/>
    <w:rsid w:val="00D82573"/>
    <w:rsid w:val="00D86376"/>
    <w:rsid w:val="00D87AA7"/>
    <w:rsid w:val="00D916BF"/>
    <w:rsid w:val="00D919C5"/>
    <w:rsid w:val="00D92FD2"/>
    <w:rsid w:val="00D938C7"/>
    <w:rsid w:val="00D94194"/>
    <w:rsid w:val="00D9436C"/>
    <w:rsid w:val="00D94B9F"/>
    <w:rsid w:val="00D94BB5"/>
    <w:rsid w:val="00D95155"/>
    <w:rsid w:val="00D97A7C"/>
    <w:rsid w:val="00DA038D"/>
    <w:rsid w:val="00DA064F"/>
    <w:rsid w:val="00DA1AED"/>
    <w:rsid w:val="00DA30CA"/>
    <w:rsid w:val="00DA3C47"/>
    <w:rsid w:val="00DA3DB1"/>
    <w:rsid w:val="00DA4E96"/>
    <w:rsid w:val="00DA5373"/>
    <w:rsid w:val="00DA65D1"/>
    <w:rsid w:val="00DA6AE6"/>
    <w:rsid w:val="00DA75B7"/>
    <w:rsid w:val="00DA7F9E"/>
    <w:rsid w:val="00DB062B"/>
    <w:rsid w:val="00DB263B"/>
    <w:rsid w:val="00DB2E01"/>
    <w:rsid w:val="00DB351C"/>
    <w:rsid w:val="00DB51DF"/>
    <w:rsid w:val="00DB57BC"/>
    <w:rsid w:val="00DB5B62"/>
    <w:rsid w:val="00DB63E5"/>
    <w:rsid w:val="00DB6A9F"/>
    <w:rsid w:val="00DC347A"/>
    <w:rsid w:val="00DC34CF"/>
    <w:rsid w:val="00DC4545"/>
    <w:rsid w:val="00DC69C7"/>
    <w:rsid w:val="00DC6AA2"/>
    <w:rsid w:val="00DC7867"/>
    <w:rsid w:val="00DC7EE2"/>
    <w:rsid w:val="00DD04A9"/>
    <w:rsid w:val="00DD0806"/>
    <w:rsid w:val="00DD23F6"/>
    <w:rsid w:val="00DD370E"/>
    <w:rsid w:val="00DD4386"/>
    <w:rsid w:val="00DD67B4"/>
    <w:rsid w:val="00DE3C85"/>
    <w:rsid w:val="00DE5CDA"/>
    <w:rsid w:val="00DE603D"/>
    <w:rsid w:val="00DE6379"/>
    <w:rsid w:val="00DE6F5F"/>
    <w:rsid w:val="00DF0F36"/>
    <w:rsid w:val="00DF2A9F"/>
    <w:rsid w:val="00DF4E5C"/>
    <w:rsid w:val="00DF5C6E"/>
    <w:rsid w:val="00E009E8"/>
    <w:rsid w:val="00E03203"/>
    <w:rsid w:val="00E03BC5"/>
    <w:rsid w:val="00E04178"/>
    <w:rsid w:val="00E0639D"/>
    <w:rsid w:val="00E106B4"/>
    <w:rsid w:val="00E1373D"/>
    <w:rsid w:val="00E14A11"/>
    <w:rsid w:val="00E16795"/>
    <w:rsid w:val="00E175FA"/>
    <w:rsid w:val="00E20ED9"/>
    <w:rsid w:val="00E26B44"/>
    <w:rsid w:val="00E27704"/>
    <w:rsid w:val="00E27EAE"/>
    <w:rsid w:val="00E3438D"/>
    <w:rsid w:val="00E357CC"/>
    <w:rsid w:val="00E36D16"/>
    <w:rsid w:val="00E421A5"/>
    <w:rsid w:val="00E44C35"/>
    <w:rsid w:val="00E44ED8"/>
    <w:rsid w:val="00E4514C"/>
    <w:rsid w:val="00E454EE"/>
    <w:rsid w:val="00E45855"/>
    <w:rsid w:val="00E45AEB"/>
    <w:rsid w:val="00E45CAA"/>
    <w:rsid w:val="00E47C6A"/>
    <w:rsid w:val="00E50A20"/>
    <w:rsid w:val="00E5106D"/>
    <w:rsid w:val="00E52B3A"/>
    <w:rsid w:val="00E543AD"/>
    <w:rsid w:val="00E54D0B"/>
    <w:rsid w:val="00E55DCB"/>
    <w:rsid w:val="00E614A3"/>
    <w:rsid w:val="00E61721"/>
    <w:rsid w:val="00E649A0"/>
    <w:rsid w:val="00E64BDE"/>
    <w:rsid w:val="00E66D0F"/>
    <w:rsid w:val="00E66F9F"/>
    <w:rsid w:val="00E70518"/>
    <w:rsid w:val="00E70CC8"/>
    <w:rsid w:val="00E714CA"/>
    <w:rsid w:val="00E71E1C"/>
    <w:rsid w:val="00E75303"/>
    <w:rsid w:val="00E75DE2"/>
    <w:rsid w:val="00E77E19"/>
    <w:rsid w:val="00E804D8"/>
    <w:rsid w:val="00E816CE"/>
    <w:rsid w:val="00E81BD5"/>
    <w:rsid w:val="00E82F82"/>
    <w:rsid w:val="00E84665"/>
    <w:rsid w:val="00E85297"/>
    <w:rsid w:val="00E9036C"/>
    <w:rsid w:val="00E90DB6"/>
    <w:rsid w:val="00E9114B"/>
    <w:rsid w:val="00E91B70"/>
    <w:rsid w:val="00E92958"/>
    <w:rsid w:val="00E9369F"/>
    <w:rsid w:val="00E941A0"/>
    <w:rsid w:val="00E97D52"/>
    <w:rsid w:val="00E97DF8"/>
    <w:rsid w:val="00EA0A8E"/>
    <w:rsid w:val="00EA0D76"/>
    <w:rsid w:val="00EA1F48"/>
    <w:rsid w:val="00EA2113"/>
    <w:rsid w:val="00EA45D2"/>
    <w:rsid w:val="00EA546D"/>
    <w:rsid w:val="00EA6D0B"/>
    <w:rsid w:val="00EB1BC9"/>
    <w:rsid w:val="00EB2478"/>
    <w:rsid w:val="00EB27A8"/>
    <w:rsid w:val="00EB32B0"/>
    <w:rsid w:val="00EB3872"/>
    <w:rsid w:val="00EB3D53"/>
    <w:rsid w:val="00EB6166"/>
    <w:rsid w:val="00EB6D64"/>
    <w:rsid w:val="00EB7046"/>
    <w:rsid w:val="00EB717E"/>
    <w:rsid w:val="00EB78FB"/>
    <w:rsid w:val="00EC06B8"/>
    <w:rsid w:val="00EC2C6E"/>
    <w:rsid w:val="00EC4182"/>
    <w:rsid w:val="00EC5420"/>
    <w:rsid w:val="00ED10E5"/>
    <w:rsid w:val="00ED15EF"/>
    <w:rsid w:val="00ED2CCE"/>
    <w:rsid w:val="00ED3D37"/>
    <w:rsid w:val="00ED444B"/>
    <w:rsid w:val="00ED7DD1"/>
    <w:rsid w:val="00EE0495"/>
    <w:rsid w:val="00EE06C8"/>
    <w:rsid w:val="00EE2B1B"/>
    <w:rsid w:val="00EE6D4E"/>
    <w:rsid w:val="00EF2A09"/>
    <w:rsid w:val="00EF3EDA"/>
    <w:rsid w:val="00EF446F"/>
    <w:rsid w:val="00EF54DC"/>
    <w:rsid w:val="00EF5B13"/>
    <w:rsid w:val="00EF71D4"/>
    <w:rsid w:val="00F02519"/>
    <w:rsid w:val="00F026D8"/>
    <w:rsid w:val="00F02CAF"/>
    <w:rsid w:val="00F03002"/>
    <w:rsid w:val="00F032F5"/>
    <w:rsid w:val="00F05119"/>
    <w:rsid w:val="00F06CAE"/>
    <w:rsid w:val="00F07525"/>
    <w:rsid w:val="00F0795D"/>
    <w:rsid w:val="00F11DC1"/>
    <w:rsid w:val="00F121F6"/>
    <w:rsid w:val="00F1384B"/>
    <w:rsid w:val="00F14CEA"/>
    <w:rsid w:val="00F15D87"/>
    <w:rsid w:val="00F1764E"/>
    <w:rsid w:val="00F24CF3"/>
    <w:rsid w:val="00F25FFA"/>
    <w:rsid w:val="00F35806"/>
    <w:rsid w:val="00F3644E"/>
    <w:rsid w:val="00F36F0E"/>
    <w:rsid w:val="00F4003D"/>
    <w:rsid w:val="00F40125"/>
    <w:rsid w:val="00F40309"/>
    <w:rsid w:val="00F40D4E"/>
    <w:rsid w:val="00F41D1F"/>
    <w:rsid w:val="00F4245F"/>
    <w:rsid w:val="00F4323D"/>
    <w:rsid w:val="00F43979"/>
    <w:rsid w:val="00F50A9F"/>
    <w:rsid w:val="00F50BF3"/>
    <w:rsid w:val="00F52B97"/>
    <w:rsid w:val="00F5403B"/>
    <w:rsid w:val="00F55C53"/>
    <w:rsid w:val="00F55D61"/>
    <w:rsid w:val="00F565F4"/>
    <w:rsid w:val="00F56938"/>
    <w:rsid w:val="00F56FC8"/>
    <w:rsid w:val="00F57ACA"/>
    <w:rsid w:val="00F6097D"/>
    <w:rsid w:val="00F61A2C"/>
    <w:rsid w:val="00F64FB6"/>
    <w:rsid w:val="00F65762"/>
    <w:rsid w:val="00F70F63"/>
    <w:rsid w:val="00F71D2A"/>
    <w:rsid w:val="00F720C3"/>
    <w:rsid w:val="00F72D56"/>
    <w:rsid w:val="00F76670"/>
    <w:rsid w:val="00F7754D"/>
    <w:rsid w:val="00F77910"/>
    <w:rsid w:val="00F77EA8"/>
    <w:rsid w:val="00F80AC6"/>
    <w:rsid w:val="00F8103B"/>
    <w:rsid w:val="00F814A3"/>
    <w:rsid w:val="00F8155B"/>
    <w:rsid w:val="00F84D1A"/>
    <w:rsid w:val="00F84D2C"/>
    <w:rsid w:val="00F86B1F"/>
    <w:rsid w:val="00F86D4C"/>
    <w:rsid w:val="00F904CE"/>
    <w:rsid w:val="00F91CEA"/>
    <w:rsid w:val="00F93762"/>
    <w:rsid w:val="00F93B96"/>
    <w:rsid w:val="00F95E10"/>
    <w:rsid w:val="00F95F64"/>
    <w:rsid w:val="00F96DE9"/>
    <w:rsid w:val="00F97DBC"/>
    <w:rsid w:val="00FA03F6"/>
    <w:rsid w:val="00FA11EB"/>
    <w:rsid w:val="00FA324F"/>
    <w:rsid w:val="00FA5030"/>
    <w:rsid w:val="00FA582A"/>
    <w:rsid w:val="00FA6F3C"/>
    <w:rsid w:val="00FA7403"/>
    <w:rsid w:val="00FB02A7"/>
    <w:rsid w:val="00FB0310"/>
    <w:rsid w:val="00FB1B85"/>
    <w:rsid w:val="00FB1D46"/>
    <w:rsid w:val="00FB3A3C"/>
    <w:rsid w:val="00FB6348"/>
    <w:rsid w:val="00FB6C6A"/>
    <w:rsid w:val="00FB7EA3"/>
    <w:rsid w:val="00FC24A0"/>
    <w:rsid w:val="00FC389B"/>
    <w:rsid w:val="00FC4E1F"/>
    <w:rsid w:val="00FC63C5"/>
    <w:rsid w:val="00FC709E"/>
    <w:rsid w:val="00FC75DD"/>
    <w:rsid w:val="00FD1300"/>
    <w:rsid w:val="00FD1D2A"/>
    <w:rsid w:val="00FD2CF6"/>
    <w:rsid w:val="00FD2EE4"/>
    <w:rsid w:val="00FD3DF1"/>
    <w:rsid w:val="00FD45E0"/>
    <w:rsid w:val="00FD4708"/>
    <w:rsid w:val="00FD4F51"/>
    <w:rsid w:val="00FD593C"/>
    <w:rsid w:val="00FD5964"/>
    <w:rsid w:val="00FD60E8"/>
    <w:rsid w:val="00FD750F"/>
    <w:rsid w:val="00FD77C6"/>
    <w:rsid w:val="00FD7E04"/>
    <w:rsid w:val="00FE06AE"/>
    <w:rsid w:val="00FE0965"/>
    <w:rsid w:val="00FE4571"/>
    <w:rsid w:val="00FE5682"/>
    <w:rsid w:val="00FF0CD6"/>
    <w:rsid w:val="00FF13E7"/>
    <w:rsid w:val="00FF1D44"/>
    <w:rsid w:val="00FF1F0B"/>
    <w:rsid w:val="00FF2EC5"/>
    <w:rsid w:val="00FF76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373C5C"/>
  <w15:docId w15:val="{A21C7794-2C3C-4D5D-A745-1C455C0A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3E2"/>
    <w:pPr>
      <w:jc w:val="both"/>
    </w:pPr>
    <w:rPr>
      <w:rFonts w:ascii="Arial" w:eastAsia="Batang" w:hAnsi="Arial"/>
      <w:lang w:eastAsia="en-US"/>
    </w:rPr>
  </w:style>
  <w:style w:type="paragraph" w:styleId="Heading1">
    <w:name w:val="heading 1"/>
    <w:basedOn w:val="Normal"/>
    <w:next w:val="BodyText"/>
    <w:link w:val="Heading1Char"/>
    <w:qFormat/>
    <w:rsid w:val="004E3FA3"/>
    <w:pPr>
      <w:keepNext/>
      <w:numPr>
        <w:numId w:val="17"/>
      </w:numPr>
      <w:spacing w:before="360" w:after="200"/>
      <w:outlineLvl w:val="0"/>
    </w:pPr>
    <w:rPr>
      <w:rFonts w:ascii="Calibri" w:eastAsia="Times New Roman" w:hAnsi="Calibri"/>
      <w:b/>
      <w:color w:val="7F1399"/>
      <w:sz w:val="28"/>
      <w:szCs w:val="28"/>
      <w:lang w:eastAsia="en-GB"/>
    </w:rPr>
  </w:style>
  <w:style w:type="paragraph" w:styleId="Heading2">
    <w:name w:val="heading 2"/>
    <w:basedOn w:val="Normal"/>
    <w:next w:val="BodyText"/>
    <w:link w:val="Heading2Char"/>
    <w:qFormat/>
    <w:rsid w:val="004E3FA3"/>
    <w:pPr>
      <w:keepNext/>
      <w:numPr>
        <w:ilvl w:val="1"/>
        <w:numId w:val="17"/>
      </w:numPr>
      <w:spacing w:before="200" w:after="200"/>
      <w:outlineLvl w:val="1"/>
    </w:pPr>
    <w:rPr>
      <w:rFonts w:asciiTheme="minorHAnsi" w:eastAsia="Times New Roman" w:hAnsiTheme="minorHAnsi"/>
      <w:b/>
      <w:color w:val="7F1399"/>
      <w:sz w:val="24"/>
      <w:szCs w:val="24"/>
      <w:lang w:val="en-AU"/>
    </w:rPr>
  </w:style>
  <w:style w:type="paragraph" w:styleId="Heading3">
    <w:name w:val="heading 3"/>
    <w:basedOn w:val="Normal"/>
    <w:next w:val="BodyText"/>
    <w:link w:val="Heading3Char"/>
    <w:qFormat/>
    <w:rsid w:val="00D94BB5"/>
    <w:pPr>
      <w:numPr>
        <w:ilvl w:val="2"/>
        <w:numId w:val="17"/>
      </w:numPr>
      <w:spacing w:after="100"/>
      <w:outlineLvl w:val="2"/>
    </w:pPr>
    <w:rPr>
      <w:rFonts w:ascii="Calibri" w:eastAsia="Times New Roman" w:hAnsi="Calibri"/>
      <w:sz w:val="22"/>
      <w:szCs w:val="22"/>
      <w:lang w:val="en-AU" w:eastAsia="en-GB"/>
    </w:rPr>
  </w:style>
  <w:style w:type="paragraph" w:styleId="Heading4">
    <w:name w:val="heading 4"/>
    <w:basedOn w:val="Numberedsubparagraph"/>
    <w:next w:val="BodyText"/>
    <w:qFormat/>
    <w:rsid w:val="00D94BB5"/>
    <w:pPr>
      <w:ind w:hanging="359"/>
      <w:outlineLvl w:val="3"/>
    </w:pPr>
  </w:style>
  <w:style w:type="paragraph" w:styleId="Heading5">
    <w:name w:val="heading 5"/>
    <w:basedOn w:val="BodyText"/>
    <w:link w:val="Heading5Char"/>
    <w:qFormat/>
    <w:rsid w:val="00CA77A2"/>
    <w:pPr>
      <w:numPr>
        <w:ilvl w:val="4"/>
        <w:numId w:val="17"/>
      </w:numPr>
      <w:spacing w:before="60"/>
      <w:outlineLvl w:val="4"/>
    </w:pPr>
  </w:style>
  <w:style w:type="paragraph" w:styleId="Heading6">
    <w:name w:val="heading 6"/>
    <w:basedOn w:val="BodyText"/>
    <w:qFormat/>
    <w:rsid w:val="00D70B3C"/>
    <w:pPr>
      <w:numPr>
        <w:ilvl w:val="5"/>
        <w:numId w:val="17"/>
      </w:numPr>
      <w:outlineLvl w:val="5"/>
    </w:pPr>
  </w:style>
  <w:style w:type="paragraph" w:styleId="Heading7">
    <w:name w:val="heading 7"/>
    <w:basedOn w:val="BodyText"/>
    <w:qFormat/>
    <w:rsid w:val="00D70B3C"/>
    <w:pPr>
      <w:numPr>
        <w:ilvl w:val="6"/>
        <w:numId w:val="17"/>
      </w:numPr>
      <w:outlineLvl w:val="6"/>
    </w:pPr>
  </w:style>
  <w:style w:type="paragraph" w:styleId="Heading8">
    <w:name w:val="heading 8"/>
    <w:basedOn w:val="BodyText"/>
    <w:qFormat/>
    <w:rsid w:val="00FF2EC5"/>
    <w:pPr>
      <w:numPr>
        <w:ilvl w:val="7"/>
        <w:numId w:val="17"/>
      </w:numPr>
      <w:outlineLvl w:val="7"/>
    </w:pPr>
  </w:style>
  <w:style w:type="paragraph" w:styleId="Heading9">
    <w:name w:val="heading 9"/>
    <w:basedOn w:val="BodyText"/>
    <w:qFormat/>
    <w:rsid w:val="007A6829"/>
    <w:pPr>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14392"/>
    <w:pPr>
      <w:spacing w:before="120" w:after="120"/>
      <w:ind w:left="992"/>
    </w:pPr>
    <w:rPr>
      <w:rFonts w:asciiTheme="minorHAnsi" w:hAnsiTheme="minorHAnsi"/>
    </w:rPr>
  </w:style>
  <w:style w:type="paragraph" w:customStyle="1" w:styleId="ExeutiveSummaryHeader">
    <w:name w:val="Exeutive Summary Header"/>
    <w:next w:val="BodyTextNotIndented"/>
    <w:rsid w:val="0093502F"/>
    <w:pPr>
      <w:pBdr>
        <w:top w:val="single" w:sz="4" w:space="5" w:color="000000"/>
      </w:pBdr>
    </w:pPr>
    <w:rPr>
      <w:rFonts w:ascii="Arial Bold" w:hAnsi="Arial Bold"/>
      <w:b/>
      <w:noProof/>
      <w:color w:val="000000"/>
      <w:kern w:val="28"/>
      <w:sz w:val="28"/>
      <w:lang w:eastAsia="en-US"/>
    </w:rPr>
  </w:style>
  <w:style w:type="paragraph" w:customStyle="1" w:styleId="BodyTextNotIndented">
    <w:name w:val="Body Text Not Indented"/>
    <w:basedOn w:val="BodyText"/>
    <w:qFormat/>
    <w:rsid w:val="001C11CA"/>
    <w:pPr>
      <w:ind w:left="0"/>
    </w:pPr>
  </w:style>
  <w:style w:type="paragraph" w:styleId="BalloonText">
    <w:name w:val="Balloon Text"/>
    <w:basedOn w:val="Normal"/>
    <w:link w:val="BalloonTextChar"/>
    <w:rsid w:val="001B639A"/>
    <w:pPr>
      <w:numPr>
        <w:numId w:val="1"/>
      </w:numPr>
    </w:pPr>
    <w:rPr>
      <w:rFonts w:ascii="Tahoma" w:hAnsi="Tahoma" w:cs="Tahoma"/>
      <w:sz w:val="16"/>
      <w:szCs w:val="16"/>
    </w:rPr>
  </w:style>
  <w:style w:type="paragraph" w:styleId="DocumentMap">
    <w:name w:val="Document Map"/>
    <w:basedOn w:val="Normal"/>
    <w:semiHidden/>
    <w:rsid w:val="001B639A"/>
    <w:pPr>
      <w:numPr>
        <w:ilvl w:val="1"/>
        <w:numId w:val="1"/>
      </w:numPr>
      <w:shd w:val="clear" w:color="auto" w:fill="000080"/>
    </w:pPr>
    <w:rPr>
      <w:rFonts w:ascii="Tahoma" w:hAnsi="Tahoma" w:cs="Tahoma"/>
    </w:rPr>
  </w:style>
  <w:style w:type="paragraph" w:customStyle="1" w:styleId="Legal8">
    <w:name w:val="Legal 8"/>
    <w:basedOn w:val="Normal"/>
    <w:next w:val="Normal"/>
    <w:semiHidden/>
    <w:rsid w:val="001B639A"/>
    <w:pPr>
      <w:numPr>
        <w:ilvl w:val="2"/>
        <w:numId w:val="1"/>
      </w:numPr>
      <w:spacing w:after="240"/>
      <w:outlineLvl w:val="7"/>
    </w:pPr>
    <w:rPr>
      <w:sz w:val="24"/>
      <w:lang w:val="en-AU" w:eastAsia="en-NZ"/>
    </w:rPr>
  </w:style>
  <w:style w:type="paragraph" w:styleId="TOCHeading">
    <w:name w:val="TOC Heading"/>
    <w:basedOn w:val="ExeutiveSummaryHeader"/>
    <w:next w:val="Normal"/>
    <w:uiPriority w:val="39"/>
    <w:unhideWhenUsed/>
    <w:qFormat/>
    <w:rsid w:val="00953035"/>
    <w:pPr>
      <w:keepLines/>
      <w:pBdr>
        <w:top w:val="none" w:sz="0" w:space="0" w:color="auto"/>
      </w:pBdr>
      <w:spacing w:before="480" w:line="276" w:lineRule="auto"/>
    </w:pPr>
    <w:rPr>
      <w:rFonts w:asciiTheme="minorHAnsi" w:hAnsiTheme="minorHAnsi" w:cstheme="minorHAnsi"/>
      <w:bCs/>
      <w:color w:val="7F1399"/>
      <w:kern w:val="0"/>
      <w:szCs w:val="28"/>
      <w:lang w:val="en-US"/>
    </w:rPr>
  </w:style>
  <w:style w:type="paragraph" w:customStyle="1" w:styleId="Level3">
    <w:name w:val="Level 3"/>
    <w:basedOn w:val="Normal"/>
    <w:next w:val="Normal"/>
    <w:uiPriority w:val="99"/>
    <w:semiHidden/>
    <w:rsid w:val="001B639A"/>
    <w:pPr>
      <w:numPr>
        <w:numId w:val="2"/>
      </w:numPr>
      <w:spacing w:after="240"/>
      <w:outlineLvl w:val="2"/>
    </w:pPr>
    <w:rPr>
      <w:sz w:val="24"/>
      <w:lang w:val="en-AU" w:eastAsia="en-NZ"/>
    </w:rPr>
  </w:style>
  <w:style w:type="paragraph" w:customStyle="1" w:styleId="Level4">
    <w:name w:val="Level 4"/>
    <w:basedOn w:val="Normal"/>
    <w:next w:val="Normal"/>
    <w:uiPriority w:val="99"/>
    <w:semiHidden/>
    <w:rsid w:val="001B639A"/>
    <w:pPr>
      <w:numPr>
        <w:ilvl w:val="1"/>
        <w:numId w:val="2"/>
      </w:numPr>
      <w:spacing w:after="240"/>
      <w:outlineLvl w:val="3"/>
    </w:pPr>
    <w:rPr>
      <w:sz w:val="24"/>
      <w:lang w:val="en-AU" w:eastAsia="en-NZ"/>
    </w:rPr>
  </w:style>
  <w:style w:type="paragraph" w:customStyle="1" w:styleId="MELegal1">
    <w:name w:val="ME Legal 1"/>
    <w:basedOn w:val="Normal"/>
    <w:next w:val="Normal"/>
    <w:semiHidden/>
    <w:rsid w:val="001B639A"/>
    <w:pPr>
      <w:tabs>
        <w:tab w:val="num" w:pos="851"/>
      </w:tabs>
      <w:spacing w:after="240"/>
      <w:ind w:left="851" w:hanging="851"/>
      <w:outlineLvl w:val="0"/>
    </w:pPr>
    <w:rPr>
      <w:sz w:val="24"/>
      <w:lang w:val="en-AU" w:eastAsia="en-NZ"/>
    </w:rPr>
  </w:style>
  <w:style w:type="paragraph" w:customStyle="1" w:styleId="MELegal2">
    <w:name w:val="ME Legal 2"/>
    <w:basedOn w:val="Normal"/>
    <w:next w:val="Normal"/>
    <w:uiPriority w:val="99"/>
    <w:semiHidden/>
    <w:rsid w:val="001B639A"/>
    <w:pPr>
      <w:numPr>
        <w:ilvl w:val="3"/>
        <w:numId w:val="2"/>
      </w:numPr>
      <w:spacing w:after="240"/>
      <w:outlineLvl w:val="1"/>
    </w:pPr>
    <w:rPr>
      <w:sz w:val="24"/>
      <w:lang w:val="en-AU" w:eastAsia="en-NZ"/>
    </w:rPr>
  </w:style>
  <w:style w:type="paragraph" w:customStyle="1" w:styleId="MELegal3">
    <w:name w:val="ME Legal 3"/>
    <w:basedOn w:val="Normal"/>
    <w:next w:val="Normal"/>
    <w:semiHidden/>
    <w:rsid w:val="001B639A"/>
    <w:pPr>
      <w:numPr>
        <w:ilvl w:val="4"/>
        <w:numId w:val="2"/>
      </w:numPr>
      <w:spacing w:after="240"/>
      <w:outlineLvl w:val="2"/>
    </w:pPr>
    <w:rPr>
      <w:sz w:val="24"/>
      <w:lang w:val="en-AU" w:eastAsia="en-NZ"/>
    </w:rPr>
  </w:style>
  <w:style w:type="paragraph" w:customStyle="1" w:styleId="MELegal4">
    <w:name w:val="ME Legal 4"/>
    <w:basedOn w:val="Normal"/>
    <w:next w:val="Normal"/>
    <w:uiPriority w:val="99"/>
    <w:semiHidden/>
    <w:rsid w:val="001B639A"/>
    <w:pPr>
      <w:numPr>
        <w:ilvl w:val="5"/>
        <w:numId w:val="2"/>
      </w:numPr>
      <w:spacing w:after="240"/>
      <w:outlineLvl w:val="3"/>
    </w:pPr>
    <w:rPr>
      <w:sz w:val="24"/>
      <w:lang w:val="en-AU" w:eastAsia="en-NZ"/>
    </w:rPr>
  </w:style>
  <w:style w:type="paragraph" w:customStyle="1" w:styleId="MELegal5">
    <w:name w:val="ME Legal 5"/>
    <w:basedOn w:val="Normal"/>
    <w:next w:val="Normal"/>
    <w:uiPriority w:val="99"/>
    <w:semiHidden/>
    <w:rsid w:val="001B639A"/>
    <w:pPr>
      <w:numPr>
        <w:ilvl w:val="6"/>
        <w:numId w:val="2"/>
      </w:numPr>
      <w:spacing w:after="240"/>
      <w:outlineLvl w:val="4"/>
    </w:pPr>
    <w:rPr>
      <w:sz w:val="24"/>
      <w:lang w:val="en-AU" w:eastAsia="en-NZ"/>
    </w:rPr>
  </w:style>
  <w:style w:type="paragraph" w:customStyle="1" w:styleId="MELegal6">
    <w:name w:val="ME Legal 6"/>
    <w:basedOn w:val="Normal"/>
    <w:next w:val="Normal"/>
    <w:semiHidden/>
    <w:rsid w:val="001B639A"/>
    <w:pPr>
      <w:tabs>
        <w:tab w:val="num" w:pos="4253"/>
      </w:tabs>
      <w:spacing w:after="240"/>
      <w:ind w:left="4253" w:hanging="851"/>
      <w:outlineLvl w:val="5"/>
    </w:pPr>
    <w:rPr>
      <w:sz w:val="24"/>
      <w:lang w:val="en-AU" w:eastAsia="en-NZ"/>
    </w:rPr>
  </w:style>
  <w:style w:type="paragraph" w:customStyle="1" w:styleId="MELegal7">
    <w:name w:val="ME Legal 7"/>
    <w:basedOn w:val="Normal"/>
    <w:next w:val="Normal"/>
    <w:semiHidden/>
    <w:rsid w:val="001B639A"/>
    <w:pPr>
      <w:tabs>
        <w:tab w:val="num" w:pos="5245"/>
      </w:tabs>
      <w:spacing w:after="240"/>
      <w:ind w:left="5245" w:hanging="850"/>
      <w:outlineLvl w:val="6"/>
    </w:pPr>
    <w:rPr>
      <w:sz w:val="24"/>
      <w:lang w:val="en-AU" w:eastAsia="en-NZ"/>
    </w:rPr>
  </w:style>
  <w:style w:type="paragraph" w:customStyle="1" w:styleId="ClauseStyle">
    <w:name w:val="Clause Style"/>
    <w:basedOn w:val="BodyText"/>
    <w:semiHidden/>
    <w:rsid w:val="001B639A"/>
    <w:pPr>
      <w:tabs>
        <w:tab w:val="left" w:pos="2835"/>
      </w:tabs>
      <w:spacing w:before="240"/>
    </w:pPr>
    <w:rPr>
      <w:b/>
      <w:sz w:val="24"/>
    </w:rPr>
  </w:style>
  <w:style w:type="paragraph" w:customStyle="1" w:styleId="Sub-ClauseStyle">
    <w:name w:val="Sub-Clause Style"/>
    <w:basedOn w:val="BodyText"/>
    <w:semiHidden/>
    <w:rsid w:val="001B639A"/>
    <w:pPr>
      <w:tabs>
        <w:tab w:val="left" w:pos="2835"/>
      </w:tabs>
      <w:spacing w:before="240"/>
      <w:ind w:left="2835" w:hanging="2155"/>
    </w:pPr>
    <w:rPr>
      <w:b/>
    </w:rPr>
  </w:style>
  <w:style w:type="character" w:customStyle="1" w:styleId="DeltaViewInsertion">
    <w:name w:val="DeltaView Insertion"/>
    <w:uiPriority w:val="99"/>
    <w:rsid w:val="001B639A"/>
    <w:rPr>
      <w:color w:val="0000FF"/>
      <w:spacing w:val="0"/>
      <w:u w:val="double"/>
    </w:rPr>
  </w:style>
  <w:style w:type="paragraph" w:customStyle="1" w:styleId="MESubheading">
    <w:name w:val="ME Sub heading"/>
    <w:basedOn w:val="Normal"/>
    <w:next w:val="Normal"/>
    <w:semiHidden/>
    <w:rsid w:val="001B639A"/>
    <w:pPr>
      <w:spacing w:before="200" w:after="200" w:line="400" w:lineRule="exact"/>
    </w:pPr>
    <w:rPr>
      <w:spacing w:val="-10"/>
      <w:w w:val="95"/>
      <w:sz w:val="40"/>
      <w:lang w:val="en-AU" w:eastAsia="en-NZ"/>
    </w:rPr>
  </w:style>
  <w:style w:type="paragraph" w:customStyle="1" w:styleId="MEChapterheading">
    <w:name w:val="ME Chapter heading"/>
    <w:basedOn w:val="Normal"/>
    <w:next w:val="Normal"/>
    <w:semiHidden/>
    <w:rsid w:val="001B639A"/>
    <w:pPr>
      <w:pBdr>
        <w:bottom w:val="single" w:sz="4" w:space="1" w:color="auto"/>
      </w:pBdr>
      <w:spacing w:before="140" w:after="480" w:line="480" w:lineRule="exact"/>
      <w:outlineLvl w:val="0"/>
    </w:pPr>
    <w:rPr>
      <w:spacing w:val="-10"/>
      <w:w w:val="95"/>
      <w:sz w:val="48"/>
      <w:lang w:val="en-AU" w:eastAsia="en-NZ"/>
    </w:rPr>
  </w:style>
  <w:style w:type="character" w:styleId="Hyperlink">
    <w:name w:val="Hyperlink"/>
    <w:basedOn w:val="DefaultParagraphFont"/>
    <w:uiPriority w:val="99"/>
    <w:rsid w:val="001B639A"/>
    <w:rPr>
      <w:color w:val="0000FF"/>
      <w:u w:val="single"/>
    </w:rPr>
  </w:style>
  <w:style w:type="paragraph" w:styleId="TOC1">
    <w:name w:val="toc 1"/>
    <w:basedOn w:val="TOC2"/>
    <w:next w:val="Normal"/>
    <w:link w:val="TOC1Char"/>
    <w:autoRedefine/>
    <w:uiPriority w:val="39"/>
    <w:qFormat/>
    <w:rsid w:val="003A262B"/>
    <w:rPr>
      <w:b/>
      <w:sz w:val="24"/>
    </w:rPr>
  </w:style>
  <w:style w:type="paragraph" w:styleId="TOC2">
    <w:name w:val="toc 2"/>
    <w:basedOn w:val="Normal"/>
    <w:next w:val="Normal"/>
    <w:autoRedefine/>
    <w:uiPriority w:val="39"/>
    <w:qFormat/>
    <w:rsid w:val="00E97DF8"/>
    <w:pPr>
      <w:tabs>
        <w:tab w:val="left" w:pos="1418"/>
        <w:tab w:val="right" w:leader="dot" w:pos="9356"/>
      </w:tabs>
      <w:spacing w:before="240"/>
      <w:ind w:left="1418" w:hanging="1418"/>
      <w:jc w:val="left"/>
    </w:pPr>
    <w:rPr>
      <w:rFonts w:asciiTheme="minorHAnsi" w:hAnsiTheme="minorHAnsi"/>
      <w:noProof/>
      <w:sz w:val="22"/>
    </w:rPr>
  </w:style>
  <w:style w:type="paragraph" w:styleId="TOC3">
    <w:name w:val="toc 3"/>
    <w:basedOn w:val="Normal"/>
    <w:next w:val="Normal"/>
    <w:autoRedefine/>
    <w:qFormat/>
    <w:rsid w:val="002374D7"/>
    <w:pPr>
      <w:tabs>
        <w:tab w:val="left" w:pos="1701"/>
        <w:tab w:val="right" w:leader="dot" w:pos="9356"/>
      </w:tabs>
      <w:spacing w:before="120" w:after="120"/>
    </w:pPr>
    <w:rPr>
      <w:rFonts w:asciiTheme="minorHAnsi" w:hAnsiTheme="minorHAnsi"/>
      <w:noProof/>
    </w:rPr>
  </w:style>
  <w:style w:type="paragraph" w:styleId="BodyTextIndent2">
    <w:name w:val="Body Text Indent 2"/>
    <w:basedOn w:val="Normal"/>
    <w:semiHidden/>
    <w:rsid w:val="001B639A"/>
    <w:pPr>
      <w:spacing w:after="120" w:line="480" w:lineRule="auto"/>
      <w:ind w:left="283"/>
    </w:pPr>
  </w:style>
  <w:style w:type="paragraph" w:customStyle="1" w:styleId="B1">
    <w:name w:val="B1"/>
    <w:basedOn w:val="Normal"/>
    <w:semiHidden/>
    <w:rsid w:val="001B639A"/>
    <w:pPr>
      <w:tabs>
        <w:tab w:val="left" w:pos="567"/>
        <w:tab w:val="left" w:pos="1134"/>
        <w:tab w:val="left" w:pos="1701"/>
        <w:tab w:val="left" w:pos="2268"/>
      </w:tabs>
      <w:suppressAutoHyphens/>
      <w:spacing w:before="120" w:line="260" w:lineRule="exact"/>
    </w:pPr>
    <w:rPr>
      <w:color w:val="000000"/>
      <w:spacing w:val="6"/>
      <w:sz w:val="22"/>
      <w:lang w:val="en-AU"/>
    </w:rPr>
  </w:style>
  <w:style w:type="paragraph" w:styleId="BodyText2">
    <w:name w:val="Body Text 2"/>
    <w:basedOn w:val="Normal"/>
    <w:semiHidden/>
    <w:rsid w:val="001B639A"/>
    <w:pPr>
      <w:spacing w:after="120" w:line="480" w:lineRule="auto"/>
    </w:pPr>
  </w:style>
  <w:style w:type="character" w:customStyle="1" w:styleId="EItalic">
    <w:name w:val="EItalic"/>
    <w:basedOn w:val="DefaultParagraphFont"/>
    <w:semiHidden/>
    <w:rsid w:val="001B639A"/>
    <w:rPr>
      <w:i/>
    </w:rPr>
  </w:style>
  <w:style w:type="paragraph" w:customStyle="1" w:styleId="B2">
    <w:name w:val="B2#"/>
    <w:basedOn w:val="B1"/>
    <w:semiHidden/>
    <w:rsid w:val="001B639A"/>
    <w:pPr>
      <w:numPr>
        <w:ilvl w:val="5"/>
        <w:numId w:val="3"/>
      </w:numPr>
    </w:pPr>
  </w:style>
  <w:style w:type="paragraph" w:customStyle="1" w:styleId="B3">
    <w:name w:val="B3#"/>
    <w:basedOn w:val="B1"/>
    <w:semiHidden/>
    <w:rsid w:val="001B639A"/>
    <w:pPr>
      <w:numPr>
        <w:ilvl w:val="6"/>
        <w:numId w:val="3"/>
      </w:numPr>
      <w:tabs>
        <w:tab w:val="clear" w:pos="567"/>
        <w:tab w:val="clear" w:pos="1134"/>
        <w:tab w:val="clear" w:pos="2268"/>
        <w:tab w:val="left" w:pos="2835"/>
      </w:tabs>
    </w:pPr>
  </w:style>
  <w:style w:type="paragraph" w:customStyle="1" w:styleId="B4">
    <w:name w:val="B4#"/>
    <w:basedOn w:val="B1"/>
    <w:semiHidden/>
    <w:rsid w:val="001B639A"/>
    <w:pPr>
      <w:numPr>
        <w:ilvl w:val="7"/>
        <w:numId w:val="3"/>
      </w:numPr>
      <w:tabs>
        <w:tab w:val="clear" w:pos="567"/>
        <w:tab w:val="clear" w:pos="2268"/>
      </w:tabs>
    </w:pPr>
  </w:style>
  <w:style w:type="paragraph" w:customStyle="1" w:styleId="H2">
    <w:name w:val="H2#"/>
    <w:basedOn w:val="B1"/>
    <w:next w:val="B1"/>
    <w:semiHidden/>
    <w:rsid w:val="001B639A"/>
    <w:pPr>
      <w:keepNext/>
      <w:numPr>
        <w:ilvl w:val="1"/>
        <w:numId w:val="3"/>
      </w:numPr>
      <w:tabs>
        <w:tab w:val="clear" w:pos="567"/>
        <w:tab w:val="clear" w:pos="2268"/>
      </w:tabs>
      <w:spacing w:before="280"/>
      <w:outlineLvl w:val="1"/>
    </w:pPr>
    <w:rPr>
      <w:b/>
    </w:rPr>
  </w:style>
  <w:style w:type="paragraph" w:customStyle="1" w:styleId="H1">
    <w:name w:val="H1#"/>
    <w:basedOn w:val="H2"/>
    <w:next w:val="B1"/>
    <w:semiHidden/>
    <w:rsid w:val="001B639A"/>
    <w:pPr>
      <w:numPr>
        <w:ilvl w:val="0"/>
      </w:numPr>
      <w:tabs>
        <w:tab w:val="left" w:pos="2268"/>
      </w:tabs>
      <w:jc w:val="left"/>
      <w:outlineLvl w:val="0"/>
    </w:pPr>
    <w:rPr>
      <w:spacing w:val="2"/>
    </w:rPr>
  </w:style>
  <w:style w:type="paragraph" w:customStyle="1" w:styleId="IndentParaLevel1">
    <w:name w:val="IndentParaLevel1"/>
    <w:basedOn w:val="Normal"/>
    <w:semiHidden/>
    <w:rsid w:val="001B639A"/>
    <w:pPr>
      <w:spacing w:after="220"/>
      <w:ind w:left="964"/>
    </w:pPr>
    <w:rPr>
      <w:sz w:val="24"/>
      <w:szCs w:val="24"/>
      <w:lang w:val="en-AU"/>
    </w:rPr>
  </w:style>
  <w:style w:type="paragraph" w:styleId="BodyTextIndent3">
    <w:name w:val="Body Text Indent 3"/>
    <w:basedOn w:val="Normal"/>
    <w:semiHidden/>
    <w:rsid w:val="001B639A"/>
    <w:pPr>
      <w:spacing w:after="120"/>
      <w:ind w:left="283"/>
    </w:pPr>
    <w:rPr>
      <w:sz w:val="16"/>
      <w:szCs w:val="16"/>
    </w:rPr>
  </w:style>
  <w:style w:type="character" w:styleId="CommentReference">
    <w:name w:val="annotation reference"/>
    <w:basedOn w:val="DefaultParagraphFont"/>
    <w:semiHidden/>
    <w:rsid w:val="001B639A"/>
    <w:rPr>
      <w:sz w:val="16"/>
      <w:szCs w:val="16"/>
    </w:rPr>
  </w:style>
  <w:style w:type="paragraph" w:styleId="CommentText">
    <w:name w:val="annotation text"/>
    <w:basedOn w:val="Normal"/>
    <w:link w:val="CommentTextChar"/>
    <w:rsid w:val="001B639A"/>
  </w:style>
  <w:style w:type="paragraph" w:styleId="CommentSubject">
    <w:name w:val="annotation subject"/>
    <w:basedOn w:val="CommentText"/>
    <w:next w:val="CommentText"/>
    <w:link w:val="CommentSubjectChar"/>
    <w:semiHidden/>
    <w:rsid w:val="001B639A"/>
    <w:rPr>
      <w:b/>
      <w:bCs/>
    </w:rPr>
  </w:style>
  <w:style w:type="paragraph" w:styleId="Header">
    <w:name w:val="header"/>
    <w:basedOn w:val="Normal"/>
    <w:link w:val="HeaderChar"/>
    <w:rsid w:val="003A658B"/>
    <w:pPr>
      <w:tabs>
        <w:tab w:val="center" w:pos="4320"/>
        <w:tab w:val="right" w:pos="8640"/>
      </w:tabs>
    </w:pPr>
    <w:rPr>
      <w:sz w:val="16"/>
    </w:rPr>
  </w:style>
  <w:style w:type="paragraph" w:styleId="Footer">
    <w:name w:val="footer"/>
    <w:basedOn w:val="Normal"/>
    <w:link w:val="FooterChar"/>
    <w:rsid w:val="001B639A"/>
    <w:pPr>
      <w:tabs>
        <w:tab w:val="center" w:pos="4320"/>
        <w:tab w:val="right" w:pos="8640"/>
      </w:tabs>
    </w:pPr>
  </w:style>
  <w:style w:type="paragraph" w:styleId="Title">
    <w:name w:val="Title"/>
    <w:basedOn w:val="Normal"/>
    <w:rsid w:val="001B639A"/>
    <w:p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b/>
      <w:kern w:val="28"/>
      <w:sz w:val="32"/>
    </w:rPr>
  </w:style>
  <w:style w:type="paragraph" w:styleId="BlockText">
    <w:name w:val="Block Text"/>
    <w:basedOn w:val="Normal"/>
    <w:semiHidden/>
    <w:rsid w:val="001B639A"/>
    <w:pPr>
      <w:spacing w:after="120"/>
      <w:ind w:left="1440" w:right="1440"/>
    </w:pPr>
  </w:style>
  <w:style w:type="paragraph" w:styleId="ListBullet">
    <w:name w:val="List Bullet"/>
    <w:basedOn w:val="Normal"/>
    <w:autoRedefine/>
    <w:rsid w:val="001B639A"/>
    <w:pPr>
      <w:tabs>
        <w:tab w:val="num" w:pos="1080"/>
      </w:tabs>
      <w:spacing w:after="120"/>
      <w:ind w:left="357" w:hanging="357"/>
    </w:pPr>
  </w:style>
  <w:style w:type="character" w:styleId="PageNumber">
    <w:name w:val="page number"/>
    <w:basedOn w:val="DefaultParagraphFont"/>
    <w:rsid w:val="001B639A"/>
  </w:style>
  <w:style w:type="paragraph" w:customStyle="1" w:styleId="TableBodyText">
    <w:name w:val="TableBodyText"/>
    <w:basedOn w:val="Normal"/>
    <w:semiHidden/>
    <w:rsid w:val="001B639A"/>
    <w:pPr>
      <w:numPr>
        <w:numId w:val="4"/>
      </w:numPr>
      <w:tabs>
        <w:tab w:val="clear" w:pos="360"/>
      </w:tabs>
      <w:spacing w:before="60" w:after="60"/>
      <w:ind w:left="0" w:firstLine="0"/>
    </w:pPr>
    <w:rPr>
      <w:sz w:val="18"/>
    </w:rPr>
  </w:style>
  <w:style w:type="paragraph" w:customStyle="1" w:styleId="TableBodyTextHeader">
    <w:name w:val="TableBodyTextHeader"/>
    <w:basedOn w:val="TableBodyText"/>
    <w:semiHidden/>
    <w:rsid w:val="001B639A"/>
    <w:pPr>
      <w:jc w:val="center"/>
    </w:pPr>
    <w:rPr>
      <w:b/>
    </w:rPr>
  </w:style>
  <w:style w:type="paragraph" w:styleId="BodyText3">
    <w:name w:val="Body Text 3"/>
    <w:basedOn w:val="Normal"/>
    <w:semiHidden/>
    <w:rsid w:val="001B639A"/>
    <w:pPr>
      <w:spacing w:after="120"/>
    </w:pPr>
    <w:rPr>
      <w:sz w:val="16"/>
      <w:szCs w:val="16"/>
    </w:rPr>
  </w:style>
  <w:style w:type="paragraph" w:styleId="BodyTextFirstIndent">
    <w:name w:val="Body Text First Indent"/>
    <w:basedOn w:val="BodyText"/>
    <w:semiHidden/>
    <w:rsid w:val="001B639A"/>
    <w:pPr>
      <w:ind w:firstLine="210"/>
    </w:pPr>
  </w:style>
  <w:style w:type="paragraph" w:styleId="BodyTextIndent">
    <w:name w:val="Body Text Indent"/>
    <w:basedOn w:val="Normal"/>
    <w:qFormat/>
    <w:rsid w:val="001B639A"/>
    <w:pPr>
      <w:spacing w:after="120"/>
      <w:ind w:left="283"/>
    </w:pPr>
  </w:style>
  <w:style w:type="paragraph" w:styleId="BodyTextFirstIndent2">
    <w:name w:val="Body Text First Indent 2"/>
    <w:basedOn w:val="BodyTextIndent"/>
    <w:semiHidden/>
    <w:rsid w:val="001B639A"/>
    <w:pPr>
      <w:ind w:firstLine="210"/>
    </w:pPr>
  </w:style>
  <w:style w:type="paragraph" w:styleId="Caption">
    <w:name w:val="caption"/>
    <w:basedOn w:val="Normal"/>
    <w:next w:val="BodyText"/>
    <w:autoRedefine/>
    <w:qFormat/>
    <w:rsid w:val="00A83A8A"/>
    <w:pPr>
      <w:spacing w:before="120" w:after="240"/>
      <w:ind w:left="992"/>
      <w:jc w:val="center"/>
    </w:pPr>
    <w:rPr>
      <w:rFonts w:asciiTheme="minorHAnsi" w:hAnsiTheme="minorHAnsi"/>
      <w:b/>
      <w:bCs/>
      <w:szCs w:val="18"/>
    </w:rPr>
  </w:style>
  <w:style w:type="paragraph" w:styleId="Salutation">
    <w:name w:val="Salutation"/>
    <w:basedOn w:val="Normal"/>
    <w:next w:val="Normal"/>
    <w:semiHidden/>
    <w:rsid w:val="001B639A"/>
  </w:style>
  <w:style w:type="paragraph" w:styleId="Signature">
    <w:name w:val="Signature"/>
    <w:basedOn w:val="Normal"/>
    <w:semiHidden/>
    <w:rsid w:val="001B639A"/>
    <w:pPr>
      <w:ind w:left="4252"/>
    </w:pPr>
  </w:style>
  <w:style w:type="paragraph" w:styleId="Closing">
    <w:name w:val="Closing"/>
    <w:basedOn w:val="Normal"/>
    <w:semiHidden/>
    <w:rsid w:val="001B639A"/>
    <w:pPr>
      <w:ind w:left="4252"/>
    </w:pPr>
  </w:style>
  <w:style w:type="paragraph" w:styleId="ListBullet2">
    <w:name w:val="List Bullet 2"/>
    <w:basedOn w:val="ListBullet"/>
    <w:autoRedefine/>
    <w:semiHidden/>
    <w:rsid w:val="001B639A"/>
    <w:pPr>
      <w:ind w:left="1080" w:hanging="720"/>
    </w:pPr>
  </w:style>
  <w:style w:type="paragraph" w:styleId="Date">
    <w:name w:val="Date"/>
    <w:basedOn w:val="Normal"/>
    <w:next w:val="Normal"/>
    <w:semiHidden/>
    <w:rsid w:val="001B639A"/>
  </w:style>
  <w:style w:type="paragraph" w:styleId="E-mailSignature">
    <w:name w:val="E-mail Signature"/>
    <w:basedOn w:val="Normal"/>
    <w:semiHidden/>
    <w:rsid w:val="001B639A"/>
  </w:style>
  <w:style w:type="paragraph" w:styleId="EnvelopeAddress">
    <w:name w:val="envelope address"/>
    <w:basedOn w:val="Normal"/>
    <w:semiHidden/>
    <w:rsid w:val="001B639A"/>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1B639A"/>
    <w:rPr>
      <w:rFonts w:cs="Arial"/>
    </w:rPr>
  </w:style>
  <w:style w:type="character" w:styleId="FollowedHyperlink">
    <w:name w:val="FollowedHyperlink"/>
    <w:basedOn w:val="DefaultParagraphFont"/>
    <w:semiHidden/>
    <w:rsid w:val="001B639A"/>
    <w:rPr>
      <w:color w:val="800080"/>
      <w:u w:val="single"/>
    </w:rPr>
  </w:style>
  <w:style w:type="paragraph" w:customStyle="1" w:styleId="StyleBodyTextBodyTextChar1BodyTextCharChar1BodyTextChar">
    <w:name w:val="Style Body TextBody Text Char1Body Text Char Char1Body Text Char..."/>
    <w:basedOn w:val="Normal"/>
    <w:semiHidden/>
    <w:rsid w:val="001B639A"/>
    <w:pPr>
      <w:spacing w:before="120" w:after="120"/>
      <w:jc w:val="center"/>
    </w:pPr>
    <w:rPr>
      <w:rFonts w:ascii="Arial Bold" w:hAnsi="Arial Bold"/>
      <w:b/>
      <w:bCs/>
      <w:sz w:val="18"/>
      <w:szCs w:val="18"/>
    </w:rPr>
  </w:style>
  <w:style w:type="character" w:styleId="HTMLTypewriter">
    <w:name w:val="HTML Typewriter"/>
    <w:basedOn w:val="DefaultParagraphFont"/>
    <w:semiHidden/>
    <w:rsid w:val="001B639A"/>
    <w:rPr>
      <w:rFonts w:ascii="Courier New" w:hAnsi="Courier New" w:cs="Courier New"/>
      <w:sz w:val="20"/>
      <w:szCs w:val="20"/>
    </w:rPr>
  </w:style>
  <w:style w:type="character" w:styleId="LineNumber">
    <w:name w:val="line number"/>
    <w:basedOn w:val="DefaultParagraphFont"/>
    <w:semiHidden/>
    <w:rsid w:val="001B639A"/>
  </w:style>
  <w:style w:type="paragraph" w:styleId="List">
    <w:name w:val="List"/>
    <w:basedOn w:val="Normal"/>
    <w:semiHidden/>
    <w:rsid w:val="001B639A"/>
    <w:pPr>
      <w:ind w:left="283" w:hanging="283"/>
    </w:pPr>
  </w:style>
  <w:style w:type="paragraph" w:styleId="List2">
    <w:name w:val="List 2"/>
    <w:basedOn w:val="Normal"/>
    <w:semiHidden/>
    <w:rsid w:val="001B639A"/>
    <w:pPr>
      <w:ind w:left="566" w:hanging="283"/>
    </w:pPr>
  </w:style>
  <w:style w:type="paragraph" w:styleId="List3">
    <w:name w:val="List 3"/>
    <w:basedOn w:val="Normal"/>
    <w:semiHidden/>
    <w:rsid w:val="001B639A"/>
    <w:pPr>
      <w:ind w:left="849" w:hanging="283"/>
    </w:pPr>
  </w:style>
  <w:style w:type="paragraph" w:styleId="List4">
    <w:name w:val="List 4"/>
    <w:basedOn w:val="Normal"/>
    <w:semiHidden/>
    <w:rsid w:val="001B639A"/>
    <w:pPr>
      <w:ind w:left="1132" w:hanging="283"/>
    </w:pPr>
  </w:style>
  <w:style w:type="paragraph" w:styleId="List5">
    <w:name w:val="List 5"/>
    <w:basedOn w:val="Normal"/>
    <w:semiHidden/>
    <w:rsid w:val="001B639A"/>
    <w:pPr>
      <w:ind w:left="1415" w:hanging="283"/>
    </w:pPr>
  </w:style>
  <w:style w:type="paragraph" w:styleId="ListBullet3">
    <w:name w:val="List Bullet 3"/>
    <w:basedOn w:val="Normal"/>
    <w:autoRedefine/>
    <w:semiHidden/>
    <w:rsid w:val="001B639A"/>
    <w:pPr>
      <w:tabs>
        <w:tab w:val="num" w:pos="851"/>
      </w:tabs>
      <w:ind w:left="851" w:hanging="851"/>
    </w:pPr>
  </w:style>
  <w:style w:type="paragraph" w:styleId="ListBullet4">
    <w:name w:val="List Bullet 4"/>
    <w:basedOn w:val="Normal"/>
    <w:autoRedefine/>
    <w:semiHidden/>
    <w:rsid w:val="001B639A"/>
    <w:pPr>
      <w:tabs>
        <w:tab w:val="num" w:pos="851"/>
      </w:tabs>
      <w:ind w:left="851" w:hanging="851"/>
    </w:pPr>
  </w:style>
  <w:style w:type="paragraph" w:styleId="ListBullet5">
    <w:name w:val="List Bullet 5"/>
    <w:basedOn w:val="Normal"/>
    <w:autoRedefine/>
    <w:semiHidden/>
    <w:rsid w:val="001B639A"/>
    <w:pPr>
      <w:tabs>
        <w:tab w:val="num" w:pos="851"/>
      </w:tabs>
      <w:ind w:left="851" w:hanging="851"/>
    </w:pPr>
  </w:style>
  <w:style w:type="paragraph" w:styleId="ListContinue">
    <w:name w:val="List Continue"/>
    <w:basedOn w:val="Normal"/>
    <w:semiHidden/>
    <w:rsid w:val="001B639A"/>
    <w:pPr>
      <w:spacing w:after="120"/>
      <w:ind w:left="283"/>
    </w:pPr>
  </w:style>
  <w:style w:type="paragraph" w:styleId="ListContinue2">
    <w:name w:val="List Continue 2"/>
    <w:basedOn w:val="Normal"/>
    <w:semiHidden/>
    <w:rsid w:val="001B639A"/>
    <w:pPr>
      <w:spacing w:after="120"/>
      <w:ind w:left="566"/>
    </w:pPr>
  </w:style>
  <w:style w:type="paragraph" w:styleId="ListContinue3">
    <w:name w:val="List Continue 3"/>
    <w:basedOn w:val="Normal"/>
    <w:semiHidden/>
    <w:rsid w:val="001B639A"/>
    <w:pPr>
      <w:spacing w:after="120"/>
      <w:ind w:left="849"/>
    </w:pPr>
  </w:style>
  <w:style w:type="paragraph" w:styleId="ListContinue4">
    <w:name w:val="List Continue 4"/>
    <w:basedOn w:val="Normal"/>
    <w:semiHidden/>
    <w:rsid w:val="001B639A"/>
    <w:pPr>
      <w:spacing w:after="120"/>
      <w:ind w:left="1132"/>
    </w:pPr>
  </w:style>
  <w:style w:type="paragraph" w:styleId="ListContinue5">
    <w:name w:val="List Continue 5"/>
    <w:basedOn w:val="Normal"/>
    <w:semiHidden/>
    <w:rsid w:val="001B639A"/>
    <w:pPr>
      <w:spacing w:after="120"/>
      <w:ind w:left="1415"/>
    </w:pPr>
  </w:style>
  <w:style w:type="paragraph" w:styleId="ListNumber">
    <w:name w:val="List Number"/>
    <w:basedOn w:val="Normal"/>
    <w:rsid w:val="001B639A"/>
    <w:pPr>
      <w:tabs>
        <w:tab w:val="num" w:pos="360"/>
      </w:tabs>
      <w:ind w:left="360" w:hanging="360"/>
    </w:pPr>
  </w:style>
  <w:style w:type="paragraph" w:styleId="ListNumber2">
    <w:name w:val="List Number 2"/>
    <w:basedOn w:val="Normal"/>
    <w:semiHidden/>
    <w:rsid w:val="001B639A"/>
    <w:pPr>
      <w:tabs>
        <w:tab w:val="num" w:pos="1080"/>
      </w:tabs>
      <w:ind w:left="1080" w:hanging="720"/>
    </w:pPr>
  </w:style>
  <w:style w:type="paragraph" w:styleId="ListNumber3">
    <w:name w:val="List Number 3"/>
    <w:basedOn w:val="Normal"/>
    <w:semiHidden/>
    <w:rsid w:val="001B639A"/>
    <w:pPr>
      <w:tabs>
        <w:tab w:val="num" w:pos="1080"/>
      </w:tabs>
      <w:ind w:left="1080" w:hanging="720"/>
    </w:pPr>
  </w:style>
  <w:style w:type="paragraph" w:styleId="ListNumber4">
    <w:name w:val="List Number 4"/>
    <w:basedOn w:val="Normal"/>
    <w:semiHidden/>
    <w:rsid w:val="001B639A"/>
    <w:pPr>
      <w:tabs>
        <w:tab w:val="num" w:pos="1080"/>
      </w:tabs>
      <w:ind w:left="1080" w:hanging="720"/>
    </w:pPr>
  </w:style>
  <w:style w:type="paragraph" w:styleId="ListNumber5">
    <w:name w:val="List Number 5"/>
    <w:basedOn w:val="Normal"/>
    <w:semiHidden/>
    <w:rsid w:val="001B639A"/>
    <w:pPr>
      <w:tabs>
        <w:tab w:val="num" w:pos="1080"/>
      </w:tabs>
      <w:ind w:left="1080" w:hanging="720"/>
    </w:pPr>
  </w:style>
  <w:style w:type="paragraph" w:styleId="MessageHeader">
    <w:name w:val="Message Header"/>
    <w:basedOn w:val="Normal"/>
    <w:semiHidden/>
    <w:rsid w:val="001B639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semiHidden/>
    <w:rsid w:val="001B639A"/>
    <w:pPr>
      <w:ind w:left="720"/>
    </w:pPr>
  </w:style>
  <w:style w:type="paragraph" w:styleId="NoteHeading">
    <w:name w:val="Note Heading"/>
    <w:basedOn w:val="Normal"/>
    <w:next w:val="Normal"/>
    <w:semiHidden/>
    <w:rsid w:val="001B639A"/>
  </w:style>
  <w:style w:type="paragraph" w:styleId="PlainText">
    <w:name w:val="Plain Text"/>
    <w:basedOn w:val="Normal"/>
    <w:semiHidden/>
    <w:rsid w:val="001B639A"/>
    <w:rPr>
      <w:rFonts w:ascii="Courier New" w:hAnsi="Courier New" w:cs="Courier New"/>
    </w:rPr>
  </w:style>
  <w:style w:type="paragraph" w:customStyle="1" w:styleId="StyleBodyTextLeft125cm">
    <w:name w:val="Style Body Text + Left:  1.25 cm"/>
    <w:basedOn w:val="BodyText"/>
    <w:semiHidden/>
    <w:rsid w:val="001B639A"/>
    <w:rPr>
      <w:rFonts w:eastAsia="Times New Roman"/>
    </w:rPr>
  </w:style>
  <w:style w:type="character" w:customStyle="1" w:styleId="BodyTextChar1Char3">
    <w:name w:val="Body Text Char1 Char3"/>
    <w:aliases w:val="Body Text Char Char1 Char3,Body Text Char1 Char1 Char Char2,Body Text Char Char1 Char1 Char Char2,Body Text Char1 Char1 Char Char Char Char2,Body Text Char Char1 Char1 Char Char Char Char2"/>
    <w:basedOn w:val="DefaultParagraphFont"/>
    <w:semiHidden/>
    <w:rsid w:val="001B639A"/>
    <w:rPr>
      <w:rFonts w:ascii="Arial" w:eastAsia="Batang" w:hAnsi="Arial"/>
      <w:noProof w:val="0"/>
      <w:lang w:val="en-NZ" w:eastAsia="en-US" w:bidi="ar-SA"/>
    </w:rPr>
  </w:style>
  <w:style w:type="character" w:customStyle="1" w:styleId="CharChar7">
    <w:name w:val="Char Char7"/>
    <w:basedOn w:val="DefaultParagraphFont"/>
    <w:semiHidden/>
    <w:rsid w:val="001B639A"/>
    <w:rPr>
      <w:rFonts w:ascii="Arial" w:eastAsia="Batang" w:hAnsi="Arial"/>
      <w:noProof w:val="0"/>
      <w:lang w:val="en-NZ" w:eastAsia="en-US" w:bidi="ar-SA"/>
    </w:rPr>
  </w:style>
  <w:style w:type="character" w:customStyle="1" w:styleId="CharChar8">
    <w:name w:val="Char Char8"/>
    <w:basedOn w:val="DefaultParagraphFont"/>
    <w:semiHidden/>
    <w:rsid w:val="001B639A"/>
    <w:rPr>
      <w:rFonts w:ascii="Arial" w:eastAsia="Batang" w:hAnsi="Arial"/>
      <w:b/>
      <w:noProof w:val="0"/>
      <w:lang w:val="en-NZ" w:eastAsia="en-US" w:bidi="ar-SA"/>
    </w:rPr>
  </w:style>
  <w:style w:type="paragraph" w:customStyle="1" w:styleId="Bullet3">
    <w:name w:val="Bullet 3"/>
    <w:basedOn w:val="Normal"/>
    <w:semiHidden/>
    <w:rsid w:val="001B639A"/>
    <w:pPr>
      <w:tabs>
        <w:tab w:val="num" w:pos="1080"/>
      </w:tabs>
      <w:spacing w:line="290" w:lineRule="atLeast"/>
      <w:ind w:left="1797" w:hanging="357"/>
    </w:pPr>
    <w:rPr>
      <w:sz w:val="24"/>
    </w:rPr>
  </w:style>
  <w:style w:type="paragraph" w:styleId="FootnoteText">
    <w:name w:val="footnote text"/>
    <w:aliases w:val="Footnote text"/>
    <w:basedOn w:val="Normal"/>
    <w:link w:val="FootnoteTextChar"/>
    <w:uiPriority w:val="6"/>
    <w:qFormat/>
    <w:rsid w:val="001B639A"/>
    <w:rPr>
      <w:sz w:val="18"/>
    </w:rPr>
  </w:style>
  <w:style w:type="character" w:styleId="FootnoteReference">
    <w:name w:val="footnote reference"/>
    <w:aliases w:val="Footnote reference"/>
    <w:basedOn w:val="DefaultParagraphFont"/>
    <w:uiPriority w:val="6"/>
    <w:qFormat/>
    <w:rsid w:val="001B639A"/>
    <w:rPr>
      <w:vertAlign w:val="superscript"/>
    </w:rPr>
  </w:style>
  <w:style w:type="character" w:customStyle="1" w:styleId="CharChar9">
    <w:name w:val="Char Char9"/>
    <w:basedOn w:val="DefaultParagraphFont"/>
    <w:semiHidden/>
    <w:rsid w:val="001B639A"/>
    <w:rPr>
      <w:rFonts w:ascii="Arial Bold" w:hAnsi="Arial Bold"/>
      <w:b/>
      <w:noProof w:val="0"/>
      <w:sz w:val="22"/>
      <w:szCs w:val="22"/>
      <w:lang w:val="en-NZ" w:eastAsia="en-US" w:bidi="ar-SA"/>
    </w:rPr>
  </w:style>
  <w:style w:type="paragraph" w:customStyle="1" w:styleId="RWSlvl1">
    <w:name w:val="RWS lvl1"/>
    <w:basedOn w:val="Normal"/>
    <w:semiHidden/>
    <w:rsid w:val="001B639A"/>
    <w:pPr>
      <w:tabs>
        <w:tab w:val="num" w:pos="1700"/>
      </w:tabs>
      <w:spacing w:before="120" w:after="240"/>
      <w:ind w:left="1700" w:hanging="1020"/>
      <w:outlineLvl w:val="0"/>
    </w:pPr>
    <w:rPr>
      <w:sz w:val="22"/>
    </w:rPr>
  </w:style>
  <w:style w:type="paragraph" w:customStyle="1" w:styleId="RWSlvl2">
    <w:name w:val="RWS lvl2"/>
    <w:basedOn w:val="Normal"/>
    <w:semiHidden/>
    <w:rsid w:val="001B639A"/>
    <w:pPr>
      <w:tabs>
        <w:tab w:val="num" w:pos="1760"/>
      </w:tabs>
      <w:spacing w:before="120" w:after="240"/>
      <w:ind w:left="1760" w:hanging="360"/>
      <w:outlineLvl w:val="1"/>
    </w:pPr>
    <w:rPr>
      <w:sz w:val="22"/>
    </w:rPr>
  </w:style>
  <w:style w:type="paragraph" w:customStyle="1" w:styleId="RWSlvl3">
    <w:name w:val="RWS lvl3"/>
    <w:basedOn w:val="Normal"/>
    <w:semiHidden/>
    <w:rsid w:val="001B639A"/>
    <w:pPr>
      <w:tabs>
        <w:tab w:val="num" w:pos="2480"/>
      </w:tabs>
      <w:spacing w:before="120" w:after="240"/>
      <w:ind w:left="2480" w:hanging="180"/>
      <w:outlineLvl w:val="2"/>
    </w:pPr>
    <w:rPr>
      <w:sz w:val="22"/>
    </w:rPr>
  </w:style>
  <w:style w:type="paragraph" w:customStyle="1" w:styleId="RWSlvl4">
    <w:name w:val="RWS lvl4"/>
    <w:basedOn w:val="Normal"/>
    <w:semiHidden/>
    <w:rsid w:val="001B639A"/>
    <w:pPr>
      <w:tabs>
        <w:tab w:val="num" w:pos="3200"/>
      </w:tabs>
      <w:spacing w:before="120" w:after="240"/>
      <w:ind w:left="3200" w:hanging="360"/>
      <w:outlineLvl w:val="3"/>
    </w:pPr>
    <w:rPr>
      <w:sz w:val="22"/>
    </w:rPr>
  </w:style>
  <w:style w:type="paragraph" w:customStyle="1" w:styleId="RWSlvl5">
    <w:name w:val="RWS lvl5"/>
    <w:basedOn w:val="Normal"/>
    <w:semiHidden/>
    <w:rsid w:val="001B639A"/>
    <w:pPr>
      <w:tabs>
        <w:tab w:val="num" w:pos="3920"/>
      </w:tabs>
      <w:spacing w:before="120" w:after="240"/>
      <w:ind w:left="3920" w:hanging="360"/>
      <w:outlineLvl w:val="4"/>
    </w:pPr>
    <w:rPr>
      <w:sz w:val="22"/>
    </w:rPr>
  </w:style>
  <w:style w:type="paragraph" w:customStyle="1" w:styleId="tablebodytext0">
    <w:name w:val="tablebodytext"/>
    <w:basedOn w:val="Normal"/>
    <w:semiHidden/>
    <w:rsid w:val="001B639A"/>
    <w:pPr>
      <w:spacing w:before="60" w:after="60"/>
    </w:pPr>
    <w:rPr>
      <w:rFonts w:cs="Arial"/>
      <w:sz w:val="18"/>
      <w:szCs w:val="18"/>
      <w:lang w:eastAsia="en-NZ"/>
    </w:rPr>
  </w:style>
  <w:style w:type="paragraph" w:customStyle="1" w:styleId="tablebodytextheader0">
    <w:name w:val="tablebodytextheader"/>
    <w:basedOn w:val="Normal"/>
    <w:semiHidden/>
    <w:rsid w:val="001B639A"/>
    <w:pPr>
      <w:spacing w:before="60" w:after="60"/>
      <w:jc w:val="center"/>
    </w:pPr>
    <w:rPr>
      <w:rFonts w:cs="Arial"/>
      <w:b/>
      <w:bCs/>
      <w:sz w:val="18"/>
      <w:szCs w:val="18"/>
      <w:lang w:eastAsia="en-NZ"/>
    </w:rPr>
  </w:style>
  <w:style w:type="character" w:customStyle="1" w:styleId="BodyTextChar1Char">
    <w:name w:val="Body Text Char1 Char"/>
    <w:aliases w:val="Body Text Char Char1 Char,Body Text Char1 Char1 Char Char,Body Text Char Char1 Char1 Char Char,Body Text Char1 Char1 Char Char Char Char,Body Text Char Char1 Char1 Char Char Char Char,Body Text Char1 Char1,Body Text Char Char1 Char1"/>
    <w:basedOn w:val="DefaultParagraphFont"/>
    <w:semiHidden/>
    <w:rsid w:val="001B639A"/>
    <w:rPr>
      <w:rFonts w:ascii="Arial" w:eastAsia="Batang" w:hAnsi="Arial"/>
      <w:noProof w:val="0"/>
      <w:lang w:val="en-NZ" w:eastAsia="en-US" w:bidi="ar-SA"/>
    </w:rPr>
  </w:style>
  <w:style w:type="character" w:customStyle="1" w:styleId="CharChar2">
    <w:name w:val="Char Char2"/>
    <w:basedOn w:val="DefaultParagraphFont"/>
    <w:semiHidden/>
    <w:rsid w:val="001B639A"/>
    <w:rPr>
      <w:rFonts w:ascii="Arial" w:eastAsia="Batang" w:hAnsi="Arial"/>
      <w:b/>
      <w:noProof w:val="0"/>
      <w:lang w:val="en-NZ" w:eastAsia="en-US" w:bidi="ar-SA"/>
    </w:rPr>
  </w:style>
  <w:style w:type="character" w:customStyle="1" w:styleId="CharCharChar">
    <w:name w:val="Char Char Char"/>
    <w:basedOn w:val="DefaultParagraphFont"/>
    <w:semiHidden/>
    <w:rsid w:val="001B639A"/>
    <w:rPr>
      <w:rFonts w:ascii="Arial" w:eastAsia="Batang" w:hAnsi="Arial"/>
      <w:noProof w:val="0"/>
      <w:lang w:val="en-NZ" w:eastAsia="en-US" w:bidi="ar-SA"/>
    </w:rPr>
  </w:style>
  <w:style w:type="character" w:customStyle="1" w:styleId="CharChar4">
    <w:name w:val="Char Char4"/>
    <w:basedOn w:val="DefaultParagraphFont"/>
    <w:semiHidden/>
    <w:rsid w:val="001B639A"/>
    <w:rPr>
      <w:rFonts w:ascii="Arial" w:eastAsia="Batang" w:hAnsi="Arial"/>
      <w:b/>
      <w:noProof w:val="0"/>
      <w:lang w:val="en-NZ" w:eastAsia="en-US" w:bidi="ar-SA"/>
    </w:rPr>
  </w:style>
  <w:style w:type="character" w:customStyle="1" w:styleId="CharChar5">
    <w:name w:val="Char Char5"/>
    <w:basedOn w:val="DefaultParagraphFont"/>
    <w:semiHidden/>
    <w:rsid w:val="001B639A"/>
    <w:rPr>
      <w:rFonts w:ascii="Arial Bold" w:hAnsi="Arial Bold"/>
      <w:b/>
      <w:noProof w:val="0"/>
      <w:sz w:val="22"/>
      <w:szCs w:val="22"/>
      <w:lang w:val="en-NZ" w:eastAsia="en-US" w:bidi="ar-SA"/>
    </w:rPr>
  </w:style>
  <w:style w:type="character" w:customStyle="1" w:styleId="CharChar3">
    <w:name w:val="Char Char3"/>
    <w:basedOn w:val="DefaultParagraphFont"/>
    <w:semiHidden/>
    <w:rsid w:val="001B639A"/>
    <w:rPr>
      <w:rFonts w:ascii="Arial" w:eastAsia="Batang" w:hAnsi="Arial"/>
      <w:noProof w:val="0"/>
      <w:lang w:val="en-NZ" w:eastAsia="en-US" w:bidi="ar-SA"/>
    </w:rPr>
  </w:style>
  <w:style w:type="character" w:customStyle="1" w:styleId="CharChar6">
    <w:name w:val="Char Char6"/>
    <w:basedOn w:val="DefaultParagraphFont"/>
    <w:semiHidden/>
    <w:rsid w:val="001B639A"/>
    <w:rPr>
      <w:rFonts w:ascii="Arial" w:eastAsia="Batang" w:hAnsi="Arial"/>
      <w:noProof w:val="0"/>
      <w:lang w:val="en-NZ" w:eastAsia="en-US" w:bidi="ar-SA"/>
    </w:rPr>
  </w:style>
  <w:style w:type="character" w:customStyle="1" w:styleId="ftrkeys">
    <w:name w:val="!ftr keys"/>
    <w:semiHidden/>
    <w:rsid w:val="001B639A"/>
    <w:rPr>
      <w:rFonts w:ascii="UBSWarburgLogo" w:hAnsi="UBSWarburgLogo"/>
      <w:color w:val="000000"/>
      <w:sz w:val="32"/>
    </w:rPr>
  </w:style>
  <w:style w:type="paragraph" w:customStyle="1" w:styleId="P1normal">
    <w:name w:val="P1 normal"/>
    <w:basedOn w:val="Normal"/>
    <w:semiHidden/>
    <w:rsid w:val="001B639A"/>
    <w:pPr>
      <w:spacing w:before="120" w:line="260" w:lineRule="atLeast"/>
    </w:pPr>
    <w:rPr>
      <w:rFonts w:ascii="Frutiger 45 Light" w:hAnsi="Frutiger 45 Light"/>
    </w:rPr>
  </w:style>
  <w:style w:type="paragraph" w:customStyle="1" w:styleId="P1subhd1sect">
    <w:name w:val="P1 subhd1 sect"/>
    <w:basedOn w:val="P1normal"/>
    <w:next w:val="P1normal"/>
    <w:semiHidden/>
    <w:rsid w:val="001B639A"/>
    <w:pPr>
      <w:keepNext/>
      <w:spacing w:before="240"/>
      <w:outlineLvl w:val="4"/>
    </w:pPr>
    <w:rPr>
      <w:b/>
      <w:caps/>
    </w:rPr>
  </w:style>
  <w:style w:type="paragraph" w:customStyle="1" w:styleId="P1bullet1">
    <w:name w:val="P1 bullet1"/>
    <w:basedOn w:val="P1normal"/>
    <w:semiHidden/>
    <w:rsid w:val="001B639A"/>
    <w:pPr>
      <w:tabs>
        <w:tab w:val="num" w:pos="283"/>
      </w:tabs>
      <w:ind w:left="283" w:hanging="283"/>
    </w:pPr>
  </w:style>
  <w:style w:type="paragraph" w:customStyle="1" w:styleId="P1bullet2">
    <w:name w:val="P1 bullet2"/>
    <w:basedOn w:val="P1normal"/>
    <w:semiHidden/>
    <w:rsid w:val="001B639A"/>
    <w:pPr>
      <w:tabs>
        <w:tab w:val="num" w:pos="567"/>
      </w:tabs>
      <w:spacing w:before="60"/>
      <w:ind w:left="567" w:hanging="284"/>
    </w:pPr>
  </w:style>
  <w:style w:type="paragraph" w:customStyle="1" w:styleId="P1bullet3">
    <w:name w:val="P1 bullet3"/>
    <w:basedOn w:val="P1bullet2"/>
    <w:semiHidden/>
    <w:rsid w:val="001B639A"/>
    <w:pPr>
      <w:numPr>
        <w:ilvl w:val="2"/>
      </w:numPr>
      <w:tabs>
        <w:tab w:val="num" w:pos="567"/>
      </w:tabs>
      <w:ind w:left="567" w:hanging="284"/>
    </w:pPr>
  </w:style>
  <w:style w:type="paragraph" w:customStyle="1" w:styleId="Legal1">
    <w:name w:val="Legal 1"/>
    <w:basedOn w:val="Normal"/>
    <w:next w:val="Normal"/>
    <w:semiHidden/>
    <w:rsid w:val="001B639A"/>
    <w:pPr>
      <w:tabs>
        <w:tab w:val="num" w:pos="360"/>
      </w:tabs>
      <w:spacing w:after="240"/>
      <w:ind w:left="360" w:hanging="360"/>
      <w:outlineLvl w:val="0"/>
    </w:pPr>
    <w:rPr>
      <w:sz w:val="24"/>
      <w:lang w:val="en-AU"/>
    </w:rPr>
  </w:style>
  <w:style w:type="paragraph" w:customStyle="1" w:styleId="Legal2">
    <w:name w:val="Legal 2"/>
    <w:basedOn w:val="Normal"/>
    <w:next w:val="Normal"/>
    <w:semiHidden/>
    <w:rsid w:val="001B639A"/>
    <w:pPr>
      <w:tabs>
        <w:tab w:val="num" w:pos="1440"/>
      </w:tabs>
      <w:spacing w:after="240"/>
      <w:ind w:left="1440" w:hanging="360"/>
      <w:outlineLvl w:val="1"/>
    </w:pPr>
    <w:rPr>
      <w:sz w:val="24"/>
      <w:lang w:val="en-AU"/>
    </w:rPr>
  </w:style>
  <w:style w:type="paragraph" w:customStyle="1" w:styleId="Legal3">
    <w:name w:val="Legal 3"/>
    <w:basedOn w:val="Normal"/>
    <w:next w:val="Normal"/>
    <w:semiHidden/>
    <w:rsid w:val="001B639A"/>
    <w:pPr>
      <w:tabs>
        <w:tab w:val="num" w:pos="2160"/>
      </w:tabs>
      <w:spacing w:after="240"/>
      <w:ind w:left="2160" w:hanging="180"/>
      <w:outlineLvl w:val="2"/>
    </w:pPr>
    <w:rPr>
      <w:sz w:val="24"/>
      <w:lang w:val="en-AU"/>
    </w:rPr>
  </w:style>
  <w:style w:type="paragraph" w:customStyle="1" w:styleId="Legal4">
    <w:name w:val="Legal 4"/>
    <w:basedOn w:val="Normal"/>
    <w:next w:val="Normal"/>
    <w:semiHidden/>
    <w:rsid w:val="001B639A"/>
    <w:pPr>
      <w:tabs>
        <w:tab w:val="num" w:pos="2880"/>
      </w:tabs>
      <w:spacing w:after="240"/>
      <w:ind w:left="2880" w:hanging="360"/>
      <w:outlineLvl w:val="3"/>
    </w:pPr>
    <w:rPr>
      <w:sz w:val="24"/>
      <w:lang w:val="en-AU"/>
    </w:rPr>
  </w:style>
  <w:style w:type="paragraph" w:customStyle="1" w:styleId="Legal5">
    <w:name w:val="Legal 5"/>
    <w:basedOn w:val="Normal"/>
    <w:next w:val="Normal"/>
    <w:semiHidden/>
    <w:rsid w:val="001B639A"/>
    <w:pPr>
      <w:tabs>
        <w:tab w:val="num" w:pos="3600"/>
      </w:tabs>
      <w:spacing w:after="240"/>
      <w:ind w:left="3600" w:hanging="360"/>
      <w:outlineLvl w:val="4"/>
    </w:pPr>
    <w:rPr>
      <w:sz w:val="24"/>
      <w:lang w:val="en-AU"/>
    </w:rPr>
  </w:style>
  <w:style w:type="paragraph" w:customStyle="1" w:styleId="Legal6">
    <w:name w:val="Legal 6"/>
    <w:basedOn w:val="Normal"/>
    <w:next w:val="Normal"/>
    <w:semiHidden/>
    <w:rsid w:val="001B639A"/>
    <w:pPr>
      <w:tabs>
        <w:tab w:val="num" w:pos="4320"/>
      </w:tabs>
      <w:spacing w:after="240"/>
      <w:ind w:left="4320" w:hanging="180"/>
      <w:outlineLvl w:val="5"/>
    </w:pPr>
    <w:rPr>
      <w:sz w:val="24"/>
      <w:lang w:val="en-AU"/>
    </w:rPr>
  </w:style>
  <w:style w:type="paragraph" w:customStyle="1" w:styleId="Legal7">
    <w:name w:val="Legal 7"/>
    <w:basedOn w:val="Normal"/>
    <w:next w:val="Normal"/>
    <w:semiHidden/>
    <w:rsid w:val="001B639A"/>
    <w:pPr>
      <w:tabs>
        <w:tab w:val="num" w:pos="5040"/>
      </w:tabs>
      <w:spacing w:after="240"/>
      <w:ind w:left="5040" w:hanging="360"/>
      <w:outlineLvl w:val="6"/>
    </w:pPr>
    <w:rPr>
      <w:sz w:val="24"/>
      <w:lang w:val="en-AU"/>
    </w:rPr>
  </w:style>
  <w:style w:type="paragraph" w:customStyle="1" w:styleId="Bullet">
    <w:name w:val="Bullet"/>
    <w:basedOn w:val="Normal"/>
    <w:uiPriority w:val="4"/>
    <w:rsid w:val="001B639A"/>
    <w:pPr>
      <w:tabs>
        <w:tab w:val="num" w:pos="1080"/>
      </w:tabs>
      <w:spacing w:after="140" w:line="280" w:lineRule="atLeast"/>
      <w:ind w:left="1080" w:hanging="720"/>
    </w:pPr>
    <w:rPr>
      <w:sz w:val="22"/>
      <w:lang w:val="en-AU"/>
    </w:rPr>
  </w:style>
  <w:style w:type="paragraph" w:customStyle="1" w:styleId="Text">
    <w:name w:val="Text"/>
    <w:basedOn w:val="Normal"/>
    <w:semiHidden/>
    <w:rsid w:val="001B639A"/>
    <w:pPr>
      <w:spacing w:before="120"/>
    </w:pPr>
    <w:rPr>
      <w:rFonts w:ascii="CharterITC BT" w:hAnsi="CharterITC BT"/>
      <w:sz w:val="19"/>
    </w:rPr>
  </w:style>
  <w:style w:type="paragraph" w:styleId="TOC4">
    <w:name w:val="toc 4"/>
    <w:basedOn w:val="Normal"/>
    <w:next w:val="Normal"/>
    <w:autoRedefine/>
    <w:rsid w:val="001B639A"/>
    <w:pPr>
      <w:ind w:left="720"/>
      <w:jc w:val="left"/>
    </w:pPr>
    <w:rPr>
      <w:rFonts w:ascii="Times New Roman" w:eastAsia="Times New Roman" w:hAnsi="Times New Roman"/>
      <w:sz w:val="24"/>
      <w:szCs w:val="24"/>
      <w:lang w:eastAsia="en-NZ"/>
    </w:rPr>
  </w:style>
  <w:style w:type="paragraph" w:styleId="TOC5">
    <w:name w:val="toc 5"/>
    <w:basedOn w:val="Normal"/>
    <w:next w:val="Normal"/>
    <w:autoRedefine/>
    <w:uiPriority w:val="39"/>
    <w:rsid w:val="001B639A"/>
    <w:pPr>
      <w:ind w:left="960"/>
      <w:jc w:val="left"/>
    </w:pPr>
    <w:rPr>
      <w:rFonts w:ascii="Times New Roman" w:eastAsia="Times New Roman" w:hAnsi="Times New Roman"/>
      <w:sz w:val="24"/>
      <w:szCs w:val="24"/>
      <w:lang w:eastAsia="en-NZ"/>
    </w:rPr>
  </w:style>
  <w:style w:type="paragraph" w:styleId="TOC6">
    <w:name w:val="toc 6"/>
    <w:basedOn w:val="Normal"/>
    <w:next w:val="Normal"/>
    <w:autoRedefine/>
    <w:rsid w:val="001B639A"/>
    <w:pPr>
      <w:ind w:left="1200"/>
      <w:jc w:val="left"/>
    </w:pPr>
    <w:rPr>
      <w:rFonts w:ascii="Times New Roman" w:eastAsia="Times New Roman" w:hAnsi="Times New Roman"/>
      <w:sz w:val="24"/>
      <w:szCs w:val="24"/>
      <w:lang w:eastAsia="en-NZ"/>
    </w:rPr>
  </w:style>
  <w:style w:type="paragraph" w:styleId="TOC7">
    <w:name w:val="toc 7"/>
    <w:basedOn w:val="Normal"/>
    <w:next w:val="Normal"/>
    <w:autoRedefine/>
    <w:rsid w:val="001B639A"/>
    <w:pPr>
      <w:ind w:left="1440"/>
      <w:jc w:val="left"/>
    </w:pPr>
    <w:rPr>
      <w:rFonts w:ascii="Times New Roman" w:eastAsia="Times New Roman" w:hAnsi="Times New Roman"/>
      <w:sz w:val="24"/>
      <w:szCs w:val="24"/>
      <w:lang w:eastAsia="en-NZ"/>
    </w:rPr>
  </w:style>
  <w:style w:type="paragraph" w:styleId="TOC8">
    <w:name w:val="toc 8"/>
    <w:basedOn w:val="Normal"/>
    <w:next w:val="Normal"/>
    <w:autoRedefine/>
    <w:rsid w:val="001B639A"/>
    <w:pPr>
      <w:ind w:left="1680"/>
      <w:jc w:val="left"/>
    </w:pPr>
    <w:rPr>
      <w:rFonts w:ascii="Times New Roman" w:eastAsia="Times New Roman" w:hAnsi="Times New Roman"/>
      <w:sz w:val="24"/>
      <w:szCs w:val="24"/>
      <w:lang w:eastAsia="en-NZ"/>
    </w:rPr>
  </w:style>
  <w:style w:type="paragraph" w:styleId="TOC9">
    <w:name w:val="toc 9"/>
    <w:basedOn w:val="Normal"/>
    <w:next w:val="Normal"/>
    <w:autoRedefine/>
    <w:rsid w:val="001B639A"/>
    <w:pPr>
      <w:ind w:left="1920"/>
      <w:jc w:val="left"/>
    </w:pPr>
    <w:rPr>
      <w:rFonts w:ascii="Times New Roman" w:eastAsia="Times New Roman" w:hAnsi="Times New Roman"/>
      <w:sz w:val="24"/>
      <w:szCs w:val="24"/>
      <w:lang w:eastAsia="en-NZ"/>
    </w:rPr>
  </w:style>
  <w:style w:type="character" w:styleId="HTMLAcronym">
    <w:name w:val="HTML Acronym"/>
    <w:basedOn w:val="DefaultParagraphFont"/>
    <w:semiHidden/>
    <w:rsid w:val="001B639A"/>
  </w:style>
  <w:style w:type="paragraph" w:styleId="HTMLAddress">
    <w:name w:val="HTML Address"/>
    <w:basedOn w:val="Normal"/>
    <w:semiHidden/>
    <w:rsid w:val="001B639A"/>
    <w:rPr>
      <w:i/>
      <w:iCs/>
    </w:rPr>
  </w:style>
  <w:style w:type="character" w:styleId="HTMLCite">
    <w:name w:val="HTML Cite"/>
    <w:basedOn w:val="DefaultParagraphFont"/>
    <w:semiHidden/>
    <w:rsid w:val="001B639A"/>
    <w:rPr>
      <w:i/>
      <w:iCs/>
    </w:rPr>
  </w:style>
  <w:style w:type="character" w:styleId="HTMLCode">
    <w:name w:val="HTML Code"/>
    <w:basedOn w:val="DefaultParagraphFont"/>
    <w:semiHidden/>
    <w:rsid w:val="001B639A"/>
    <w:rPr>
      <w:rFonts w:ascii="Courier New" w:hAnsi="Courier New" w:cs="Courier New"/>
      <w:sz w:val="20"/>
      <w:szCs w:val="20"/>
    </w:rPr>
  </w:style>
  <w:style w:type="character" w:styleId="HTMLDefinition">
    <w:name w:val="HTML Definition"/>
    <w:basedOn w:val="DefaultParagraphFont"/>
    <w:semiHidden/>
    <w:rsid w:val="001B639A"/>
    <w:rPr>
      <w:i/>
      <w:iCs/>
    </w:rPr>
  </w:style>
  <w:style w:type="character" w:styleId="HTMLKeyboard">
    <w:name w:val="HTML Keyboard"/>
    <w:basedOn w:val="DefaultParagraphFont"/>
    <w:semiHidden/>
    <w:rsid w:val="001B639A"/>
    <w:rPr>
      <w:rFonts w:ascii="Courier New" w:hAnsi="Courier New" w:cs="Courier New"/>
      <w:sz w:val="20"/>
      <w:szCs w:val="20"/>
    </w:rPr>
  </w:style>
  <w:style w:type="paragraph" w:styleId="HTMLPreformatted">
    <w:name w:val="HTML Preformatted"/>
    <w:basedOn w:val="Normal"/>
    <w:semiHidden/>
    <w:rsid w:val="001B639A"/>
    <w:rPr>
      <w:rFonts w:ascii="Courier New" w:hAnsi="Courier New" w:cs="Courier New"/>
    </w:rPr>
  </w:style>
  <w:style w:type="character" w:styleId="HTMLSample">
    <w:name w:val="HTML Sample"/>
    <w:basedOn w:val="DefaultParagraphFont"/>
    <w:semiHidden/>
    <w:rsid w:val="001B639A"/>
    <w:rPr>
      <w:rFonts w:ascii="Courier New" w:hAnsi="Courier New" w:cs="Courier New"/>
    </w:rPr>
  </w:style>
  <w:style w:type="character" w:styleId="HTMLVariable">
    <w:name w:val="HTML Variable"/>
    <w:basedOn w:val="DefaultParagraphFont"/>
    <w:semiHidden/>
    <w:rsid w:val="001B639A"/>
    <w:rPr>
      <w:i/>
      <w:iCs/>
    </w:rPr>
  </w:style>
  <w:style w:type="paragraph" w:styleId="NormalWeb">
    <w:name w:val="Normal (Web)"/>
    <w:basedOn w:val="Normal"/>
    <w:uiPriority w:val="99"/>
    <w:semiHidden/>
    <w:rsid w:val="001B639A"/>
    <w:rPr>
      <w:rFonts w:ascii="Times New Roman" w:hAnsi="Times New Roman"/>
      <w:sz w:val="24"/>
      <w:szCs w:val="24"/>
    </w:rPr>
  </w:style>
  <w:style w:type="paragraph" w:customStyle="1" w:styleId="RecommendationHeading">
    <w:name w:val="RecommendationHeading"/>
    <w:basedOn w:val="Heading2"/>
    <w:semiHidden/>
    <w:rsid w:val="001B639A"/>
    <w:pPr>
      <w:numPr>
        <w:ilvl w:val="0"/>
        <w:numId w:val="0"/>
      </w:numPr>
      <w:tabs>
        <w:tab w:val="num" w:pos="1292"/>
      </w:tabs>
      <w:ind w:left="1292" w:hanging="992"/>
    </w:pPr>
    <w:rPr>
      <w:i/>
      <w:u w:val="single"/>
    </w:rPr>
  </w:style>
  <w:style w:type="paragraph" w:customStyle="1" w:styleId="Recommendation">
    <w:name w:val="Recommendation"/>
    <w:basedOn w:val="Normal"/>
    <w:semiHidden/>
    <w:rsid w:val="001B639A"/>
    <w:pPr>
      <w:spacing w:after="120"/>
      <w:ind w:left="709"/>
    </w:pPr>
    <w:rPr>
      <w:i/>
    </w:rPr>
  </w:style>
  <w:style w:type="paragraph" w:customStyle="1" w:styleId="PreparerName">
    <w:name w:val="PreparerName"/>
    <w:basedOn w:val="Normal"/>
    <w:next w:val="Normal"/>
    <w:semiHidden/>
    <w:rsid w:val="001B639A"/>
    <w:pPr>
      <w:spacing w:before="720"/>
      <w:jc w:val="left"/>
    </w:pPr>
    <w:rPr>
      <w:b/>
    </w:rPr>
  </w:style>
  <w:style w:type="paragraph" w:customStyle="1" w:styleId="PreparerTitle">
    <w:name w:val="PreparerTitle"/>
    <w:basedOn w:val="PreparerName"/>
    <w:next w:val="Normal"/>
    <w:semiHidden/>
    <w:rsid w:val="001B639A"/>
    <w:pPr>
      <w:spacing w:before="0"/>
    </w:pPr>
  </w:style>
  <w:style w:type="paragraph" w:customStyle="1" w:styleId="BodyTextBullet">
    <w:name w:val="BodyTextBullet"/>
    <w:basedOn w:val="TableBodyText"/>
    <w:autoRedefine/>
    <w:rsid w:val="001B639A"/>
    <w:pPr>
      <w:numPr>
        <w:numId w:val="0"/>
      </w:numPr>
      <w:tabs>
        <w:tab w:val="num" w:pos="720"/>
      </w:tabs>
      <w:ind w:left="720" w:hanging="360"/>
      <w:jc w:val="left"/>
    </w:pPr>
    <w:rPr>
      <w:rFonts w:eastAsia="Times New Roman"/>
    </w:rPr>
  </w:style>
  <w:style w:type="paragraph" w:customStyle="1" w:styleId="TableListBullet">
    <w:name w:val="TableListBullet"/>
    <w:basedOn w:val="ListBullet"/>
    <w:autoRedefine/>
    <w:semiHidden/>
    <w:rsid w:val="001B639A"/>
    <w:pPr>
      <w:spacing w:before="60" w:after="60"/>
      <w:ind w:left="1080" w:hanging="720"/>
    </w:pPr>
    <w:rPr>
      <w:sz w:val="18"/>
    </w:rPr>
  </w:style>
  <w:style w:type="paragraph" w:styleId="TableofFigures">
    <w:name w:val="table of figures"/>
    <w:basedOn w:val="Normal"/>
    <w:next w:val="Normal"/>
    <w:autoRedefine/>
    <w:semiHidden/>
    <w:rsid w:val="001B639A"/>
    <w:pPr>
      <w:tabs>
        <w:tab w:val="left" w:pos="1134"/>
        <w:tab w:val="right" w:pos="7655"/>
      </w:tabs>
      <w:spacing w:before="120" w:after="120"/>
      <w:jc w:val="left"/>
    </w:pPr>
    <w:rPr>
      <w:color w:val="333399"/>
    </w:rPr>
  </w:style>
  <w:style w:type="paragraph" w:customStyle="1" w:styleId="StyleBodyTextBodyTextChar1BodyTextCharChar1BodyTextChar1">
    <w:name w:val="Style Body TextBody Text Char1Body Text Char Char1Body Text Char...1"/>
    <w:basedOn w:val="Normal"/>
    <w:semiHidden/>
    <w:rsid w:val="001B639A"/>
    <w:pPr>
      <w:spacing w:before="60" w:after="120"/>
    </w:pPr>
    <w:rPr>
      <w:rFonts w:eastAsia="Times New Roman"/>
      <w:sz w:val="18"/>
    </w:rPr>
  </w:style>
  <w:style w:type="character" w:customStyle="1" w:styleId="CharChar1">
    <w:name w:val="Char Char1"/>
    <w:basedOn w:val="DefaultParagraphFont"/>
    <w:semiHidden/>
    <w:rsid w:val="001B639A"/>
    <w:rPr>
      <w:rFonts w:ascii="Arial" w:eastAsia="Batang" w:hAnsi="Arial"/>
      <w:noProof w:val="0"/>
      <w:lang w:val="en-NZ" w:eastAsia="en-US" w:bidi="ar-SA"/>
    </w:rPr>
  </w:style>
  <w:style w:type="paragraph" w:customStyle="1" w:styleId="Appendix">
    <w:name w:val="Appendix"/>
    <w:basedOn w:val="Heading1"/>
    <w:next w:val="Normal"/>
    <w:uiPriority w:val="5"/>
    <w:rsid w:val="0055184A"/>
    <w:pPr>
      <w:pageBreakBefore/>
      <w:numPr>
        <w:numId w:val="6"/>
      </w:numPr>
      <w:pBdr>
        <w:top w:val="single" w:sz="12" w:space="6" w:color="auto"/>
      </w:pBdr>
      <w:tabs>
        <w:tab w:val="left" w:pos="3119"/>
      </w:tabs>
      <w:spacing w:before="0"/>
      <w:ind w:left="0" w:firstLine="0"/>
    </w:pPr>
    <w:rPr>
      <w:rFonts w:ascii="Arial" w:hAnsi="Arial"/>
      <w:spacing w:val="-2"/>
      <w:sz w:val="40"/>
      <w:szCs w:val="24"/>
    </w:rPr>
  </w:style>
  <w:style w:type="table" w:styleId="MediumGrid3-Accent6">
    <w:name w:val="Medium Grid 3 Accent 6"/>
    <w:basedOn w:val="TableNormal"/>
    <w:uiPriority w:val="69"/>
    <w:rsid w:val="00B13649"/>
    <w:tblPr>
      <w:tblStyleRowBandSize w:val="1"/>
      <w:tblStyleColBandSize w:val="1"/>
      <w:tblInd w:w="99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numbering" w:styleId="111111">
    <w:name w:val="Outline List 2"/>
    <w:basedOn w:val="NoList"/>
    <w:rsid w:val="001C3B50"/>
    <w:pPr>
      <w:numPr>
        <w:numId w:val="5"/>
      </w:numPr>
    </w:pPr>
  </w:style>
  <w:style w:type="paragraph" w:styleId="Revision">
    <w:name w:val="Revision"/>
    <w:hidden/>
    <w:uiPriority w:val="99"/>
    <w:semiHidden/>
    <w:rsid w:val="00FB0310"/>
    <w:rPr>
      <w:rFonts w:ascii="Arial" w:eastAsia="Batang" w:hAnsi="Arial"/>
      <w:lang w:eastAsia="en-US"/>
    </w:rPr>
  </w:style>
  <w:style w:type="table" w:styleId="TableGrid">
    <w:name w:val="Table Grid"/>
    <w:basedOn w:val="TableNormal"/>
    <w:uiPriority w:val="39"/>
    <w:rsid w:val="004923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portTable">
    <w:name w:val="Report Table"/>
    <w:basedOn w:val="StyleBodyTextBodyTextChar1BodyTextCharChar1BodyTextChar"/>
    <w:autoRedefine/>
    <w:rsid w:val="00454438"/>
    <w:rPr>
      <w:rFonts w:eastAsia="Times New Roman"/>
      <w:b w:val="0"/>
    </w:rPr>
  </w:style>
  <w:style w:type="character" w:customStyle="1" w:styleId="HeaderChar">
    <w:name w:val="Header Char"/>
    <w:basedOn w:val="DefaultParagraphFont"/>
    <w:link w:val="Header"/>
    <w:rsid w:val="00557564"/>
    <w:rPr>
      <w:rFonts w:ascii="Arial" w:eastAsia="Batang" w:hAnsi="Arial"/>
      <w:sz w:val="16"/>
      <w:lang w:eastAsia="en-US"/>
    </w:rPr>
  </w:style>
  <w:style w:type="table" w:customStyle="1" w:styleId="LightList1">
    <w:name w:val="Light List1"/>
    <w:basedOn w:val="TableNormal"/>
    <w:uiPriority w:val="61"/>
    <w:rsid w:val="0009379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odyText-NotIndented">
    <w:name w:val="Body Text - Not Indented"/>
    <w:basedOn w:val="BodyText"/>
    <w:link w:val="BodyText-NotIndentedChar"/>
    <w:qFormat/>
    <w:rsid w:val="00B45DF6"/>
    <w:pPr>
      <w:ind w:left="0"/>
    </w:pPr>
    <w:rPr>
      <w:rFonts w:cstheme="minorHAnsi"/>
      <w:sz w:val="22"/>
      <w:szCs w:val="22"/>
    </w:rPr>
  </w:style>
  <w:style w:type="table" w:styleId="TableGrid3">
    <w:name w:val="Table Grid 3"/>
    <w:basedOn w:val="TableNormal"/>
    <w:semiHidden/>
    <w:unhideWhenUsed/>
    <w:rsid w:val="0009379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ExecutiveSummaryBodyText">
    <w:name w:val="Executive Summary Body Text"/>
    <w:basedOn w:val="BodyText-NotIndented"/>
    <w:qFormat/>
    <w:rsid w:val="00D94BB5"/>
  </w:style>
  <w:style w:type="paragraph" w:customStyle="1" w:styleId="AppendixHeading10">
    <w:name w:val="AppendixHeading1"/>
    <w:basedOn w:val="Heading1"/>
    <w:next w:val="BodyText"/>
    <w:rsid w:val="00803247"/>
    <w:pPr>
      <w:numPr>
        <w:numId w:val="0"/>
      </w:numPr>
      <w:tabs>
        <w:tab w:val="num" w:pos="992"/>
      </w:tabs>
      <w:ind w:left="992" w:hanging="992"/>
    </w:pPr>
    <w:rPr>
      <w:bCs/>
      <w:szCs w:val="24"/>
    </w:rPr>
  </w:style>
  <w:style w:type="paragraph" w:customStyle="1" w:styleId="AppendixHeading20">
    <w:name w:val="AppendixHeading2"/>
    <w:basedOn w:val="Heading2"/>
    <w:next w:val="BodyText"/>
    <w:rsid w:val="00803247"/>
    <w:pPr>
      <w:numPr>
        <w:ilvl w:val="0"/>
        <w:numId w:val="0"/>
      </w:numPr>
      <w:tabs>
        <w:tab w:val="num" w:pos="992"/>
      </w:tabs>
      <w:ind w:left="992" w:hanging="992"/>
    </w:pPr>
    <w:rPr>
      <w:b w:val="0"/>
    </w:rPr>
  </w:style>
  <w:style w:type="character" w:customStyle="1" w:styleId="FooterChar">
    <w:name w:val="Footer Char"/>
    <w:basedOn w:val="DefaultParagraphFont"/>
    <w:link w:val="Footer"/>
    <w:rsid w:val="00803247"/>
    <w:rPr>
      <w:rFonts w:ascii="Arial" w:eastAsia="Batang" w:hAnsi="Arial"/>
      <w:lang w:eastAsia="en-US"/>
    </w:rPr>
  </w:style>
  <w:style w:type="character" w:customStyle="1" w:styleId="BodyTextChar">
    <w:name w:val="Body Text Char"/>
    <w:basedOn w:val="DefaultParagraphFont"/>
    <w:link w:val="BodyText"/>
    <w:uiPriority w:val="99"/>
    <w:locked/>
    <w:rsid w:val="00814392"/>
    <w:rPr>
      <w:rFonts w:asciiTheme="minorHAnsi" w:eastAsia="Batang" w:hAnsiTheme="minorHAnsi"/>
      <w:lang w:eastAsia="en-US"/>
    </w:rPr>
  </w:style>
  <w:style w:type="paragraph" w:customStyle="1" w:styleId="Tableheading">
    <w:name w:val="Table heading"/>
    <w:basedOn w:val="Normal"/>
    <w:autoRedefine/>
    <w:uiPriority w:val="99"/>
    <w:rsid w:val="00803247"/>
    <w:pPr>
      <w:spacing w:before="120" w:after="60"/>
      <w:jc w:val="left"/>
    </w:pPr>
    <w:rPr>
      <w:rFonts w:eastAsia="Times New Roman"/>
      <w:b/>
      <w:sz w:val="18"/>
      <w:szCs w:val="24"/>
      <w:lang w:eastAsia="en-GB"/>
    </w:rPr>
  </w:style>
  <w:style w:type="paragraph" w:customStyle="1" w:styleId="Tabletext">
    <w:name w:val="Table text"/>
    <w:basedOn w:val="Normal"/>
    <w:link w:val="TabletextChar"/>
    <w:uiPriority w:val="99"/>
    <w:rsid w:val="00803247"/>
    <w:pPr>
      <w:spacing w:before="60" w:after="60"/>
      <w:jc w:val="left"/>
    </w:pPr>
    <w:rPr>
      <w:rFonts w:eastAsia="Times New Roman"/>
      <w:sz w:val="18"/>
      <w:szCs w:val="24"/>
      <w:lang w:eastAsia="en-GB"/>
    </w:rPr>
  </w:style>
  <w:style w:type="character" w:customStyle="1" w:styleId="TabletextChar">
    <w:name w:val="Table text Char"/>
    <w:basedOn w:val="DefaultParagraphFont"/>
    <w:link w:val="Tabletext"/>
    <w:uiPriority w:val="99"/>
    <w:locked/>
    <w:rsid w:val="00803247"/>
    <w:rPr>
      <w:rFonts w:ascii="Arial" w:hAnsi="Arial"/>
      <w:sz w:val="18"/>
      <w:szCs w:val="24"/>
      <w:lang w:eastAsia="en-GB"/>
    </w:rPr>
  </w:style>
  <w:style w:type="character" w:customStyle="1" w:styleId="Heading3Char">
    <w:name w:val="Heading 3 Char"/>
    <w:basedOn w:val="DefaultParagraphFont"/>
    <w:link w:val="Heading3"/>
    <w:rsid w:val="00D94BB5"/>
    <w:rPr>
      <w:rFonts w:ascii="Calibri" w:hAnsi="Calibri"/>
      <w:sz w:val="22"/>
      <w:szCs w:val="22"/>
      <w:lang w:val="en-AU" w:eastAsia="en-GB"/>
    </w:rPr>
  </w:style>
  <w:style w:type="paragraph" w:styleId="ListParagraph">
    <w:name w:val="List Paragraph"/>
    <w:basedOn w:val="Normal"/>
    <w:link w:val="ListParagraphChar"/>
    <w:uiPriority w:val="34"/>
    <w:qFormat/>
    <w:rsid w:val="00803247"/>
    <w:pPr>
      <w:spacing w:after="200" w:line="276" w:lineRule="auto"/>
      <w:ind w:left="720"/>
      <w:contextualSpacing/>
      <w:jc w:val="left"/>
    </w:pPr>
    <w:rPr>
      <w:rFonts w:asciiTheme="minorHAnsi" w:eastAsiaTheme="minorHAnsi" w:hAnsiTheme="minorHAnsi" w:cstheme="minorBidi"/>
      <w:sz w:val="22"/>
      <w:szCs w:val="22"/>
    </w:rPr>
  </w:style>
  <w:style w:type="paragraph" w:customStyle="1" w:styleId="principlesnumbered">
    <w:name w:val="principles_numbered"/>
    <w:basedOn w:val="Heading5"/>
    <w:link w:val="principlesnumberedChar"/>
    <w:rsid w:val="00803247"/>
    <w:pPr>
      <w:numPr>
        <w:numId w:val="7"/>
      </w:numPr>
    </w:pPr>
  </w:style>
  <w:style w:type="character" w:customStyle="1" w:styleId="Heading5Char">
    <w:name w:val="Heading 5 Char"/>
    <w:basedOn w:val="BodyTextChar"/>
    <w:link w:val="Heading5"/>
    <w:rsid w:val="00803247"/>
    <w:rPr>
      <w:rFonts w:asciiTheme="minorHAnsi" w:eastAsia="Batang" w:hAnsiTheme="minorHAnsi"/>
      <w:lang w:eastAsia="en-US"/>
    </w:rPr>
  </w:style>
  <w:style w:type="character" w:customStyle="1" w:styleId="principlesnumberedChar">
    <w:name w:val="principles_numbered Char"/>
    <w:basedOn w:val="Heading5Char"/>
    <w:link w:val="principlesnumbered"/>
    <w:rsid w:val="00803247"/>
    <w:rPr>
      <w:rFonts w:asciiTheme="minorHAnsi" w:eastAsia="Batang" w:hAnsiTheme="minorHAnsi"/>
      <w:lang w:eastAsia="en-US"/>
    </w:rPr>
  </w:style>
  <w:style w:type="table" w:styleId="LightShading-Accent1">
    <w:name w:val="Light Shading Accent 1"/>
    <w:basedOn w:val="TableNormal"/>
    <w:uiPriority w:val="60"/>
    <w:rsid w:val="008032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6">
    <w:name w:val="Light List Accent 6"/>
    <w:basedOn w:val="TableNormal"/>
    <w:uiPriority w:val="61"/>
    <w:rsid w:val="008032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EB27A8"/>
    <w:pPr>
      <w:autoSpaceDE w:val="0"/>
      <w:autoSpaceDN w:val="0"/>
      <w:adjustRightInd w:val="0"/>
    </w:pPr>
    <w:rPr>
      <w:rFonts w:ascii="Arial" w:hAnsi="Arial" w:cs="Arial"/>
      <w:color w:val="000000"/>
      <w:sz w:val="24"/>
      <w:szCs w:val="24"/>
    </w:rPr>
  </w:style>
  <w:style w:type="paragraph" w:customStyle="1" w:styleId="SenderDetails">
    <w:name w:val="SenderDetails"/>
    <w:basedOn w:val="Normal"/>
    <w:rsid w:val="00EB27A8"/>
    <w:pPr>
      <w:spacing w:after="200"/>
    </w:pPr>
    <w:rPr>
      <w:rFonts w:ascii="Calibri" w:eastAsia="Times New Roman" w:hAnsi="Calibri"/>
      <w:i/>
      <w:sz w:val="14"/>
    </w:rPr>
  </w:style>
  <w:style w:type="paragraph" w:customStyle="1" w:styleId="Footnote">
    <w:name w:val="Footnote"/>
    <w:basedOn w:val="FootnoteText"/>
    <w:qFormat/>
    <w:rsid w:val="00A83A8A"/>
    <w:pPr>
      <w:spacing w:after="100"/>
    </w:pPr>
    <w:rPr>
      <w:rFonts w:asciiTheme="minorHAnsi" w:eastAsia="Times New Roman" w:hAnsiTheme="minorHAnsi" w:cstheme="minorHAnsi"/>
      <w:szCs w:val="18"/>
      <w:lang w:val="en-GB"/>
    </w:rPr>
  </w:style>
  <w:style w:type="paragraph" w:customStyle="1" w:styleId="Style4">
    <w:name w:val="Style4"/>
    <w:basedOn w:val="ListParagraph"/>
    <w:rsid w:val="00EB27A8"/>
    <w:pPr>
      <w:numPr>
        <w:numId w:val="8"/>
      </w:numPr>
      <w:spacing w:after="100" w:line="240" w:lineRule="auto"/>
      <w:contextualSpacing w:val="0"/>
      <w:jc w:val="both"/>
    </w:pPr>
    <w:rPr>
      <w:rFonts w:ascii="Calibri" w:eastAsia="Times New Roman" w:hAnsi="Calibri" w:cs="Times New Roman"/>
      <w:sz w:val="20"/>
      <w:szCs w:val="20"/>
      <w:lang w:val="en-GB" w:eastAsia="en-GB"/>
    </w:rPr>
  </w:style>
  <w:style w:type="paragraph" w:customStyle="1" w:styleId="Crosssubquote">
    <w:name w:val="Cross_sub_quote"/>
    <w:basedOn w:val="Heading3"/>
    <w:link w:val="CrosssubquoteChar"/>
    <w:qFormat/>
    <w:rsid w:val="00B45DF6"/>
    <w:pPr>
      <w:numPr>
        <w:ilvl w:val="0"/>
        <w:numId w:val="0"/>
      </w:numPr>
      <w:ind w:left="1134" w:right="567"/>
    </w:pPr>
    <w:rPr>
      <w:b/>
      <w:i/>
      <w:lang w:val="en-GB"/>
    </w:rPr>
  </w:style>
  <w:style w:type="character" w:customStyle="1" w:styleId="ListParagraphChar">
    <w:name w:val="List Paragraph Char"/>
    <w:basedOn w:val="DefaultParagraphFont"/>
    <w:link w:val="ListParagraph"/>
    <w:uiPriority w:val="34"/>
    <w:rsid w:val="00EB27A8"/>
    <w:rPr>
      <w:rFonts w:asciiTheme="minorHAnsi" w:eastAsiaTheme="minorHAnsi" w:hAnsiTheme="minorHAnsi" w:cstheme="minorBidi"/>
      <w:sz w:val="22"/>
      <w:szCs w:val="22"/>
      <w:lang w:eastAsia="en-US"/>
    </w:rPr>
  </w:style>
  <w:style w:type="character" w:customStyle="1" w:styleId="CrosssubquoteChar">
    <w:name w:val="Cross_sub_quote Char"/>
    <w:basedOn w:val="DefaultParagraphFont"/>
    <w:link w:val="Crosssubquote"/>
    <w:rsid w:val="00B45DF6"/>
    <w:rPr>
      <w:rFonts w:ascii="Calibri" w:hAnsi="Calibri"/>
      <w:i/>
      <w:sz w:val="22"/>
      <w:szCs w:val="22"/>
      <w:lang w:val="en-GB" w:eastAsia="en-GB"/>
    </w:rPr>
  </w:style>
  <w:style w:type="paragraph" w:customStyle="1" w:styleId="Crosssubmissionquotesource">
    <w:name w:val="Cross_submission_quote_source"/>
    <w:basedOn w:val="Crosssubquote"/>
    <w:link w:val="CrosssubmissionquotesourceChar"/>
    <w:qFormat/>
    <w:rsid w:val="00B45DF6"/>
    <w:pPr>
      <w:numPr>
        <w:ilvl w:val="1"/>
        <w:numId w:val="8"/>
      </w:numPr>
      <w:tabs>
        <w:tab w:val="left" w:pos="8647"/>
        <w:tab w:val="left" w:pos="9498"/>
      </w:tabs>
      <w:spacing w:after="200"/>
      <w:ind w:left="1797" w:right="142" w:hanging="357"/>
      <w:jc w:val="right"/>
    </w:pPr>
    <w:rPr>
      <w:i w:val="0"/>
    </w:rPr>
  </w:style>
  <w:style w:type="character" w:customStyle="1" w:styleId="CrosssubmissionquotesourceChar">
    <w:name w:val="Cross_submission_quote_source Char"/>
    <w:basedOn w:val="CrosssubquoteChar"/>
    <w:link w:val="Crosssubmissionquotesource"/>
    <w:rsid w:val="00B45DF6"/>
    <w:rPr>
      <w:rFonts w:ascii="Calibri" w:hAnsi="Calibri"/>
      <w:b/>
      <w:i w:val="0"/>
      <w:sz w:val="22"/>
      <w:szCs w:val="22"/>
      <w:lang w:val="en-GB" w:eastAsia="en-GB"/>
    </w:rPr>
  </w:style>
  <w:style w:type="paragraph" w:customStyle="1" w:styleId="Numberedparagraph">
    <w:name w:val="Numbered_paragraph"/>
    <w:basedOn w:val="Heading3"/>
    <w:link w:val="NumberedparagraphChar"/>
    <w:qFormat/>
    <w:rsid w:val="00B45DF6"/>
    <w:rPr>
      <w:b/>
      <w:lang w:val="en-GB"/>
    </w:rPr>
  </w:style>
  <w:style w:type="paragraph" w:customStyle="1" w:styleId="Numberedsubparagraph">
    <w:name w:val="Numbered_subparagraph"/>
    <w:basedOn w:val="ListParagraph"/>
    <w:link w:val="NumberedsubparagraphChar"/>
    <w:qFormat/>
    <w:rsid w:val="00B45DF6"/>
    <w:pPr>
      <w:numPr>
        <w:numId w:val="33"/>
      </w:numPr>
      <w:spacing w:after="100" w:line="240" w:lineRule="auto"/>
      <w:contextualSpacing w:val="0"/>
      <w:jc w:val="both"/>
    </w:pPr>
    <w:rPr>
      <w:rFonts w:ascii="Calibri" w:eastAsia="Times New Roman" w:hAnsi="Calibri" w:cs="Times New Roman"/>
      <w:lang w:val="en-GB" w:eastAsia="en-GB"/>
    </w:rPr>
  </w:style>
  <w:style w:type="character" w:customStyle="1" w:styleId="NumberedparagraphChar">
    <w:name w:val="Numbered_paragraph Char"/>
    <w:basedOn w:val="Heading3Char"/>
    <w:link w:val="Numberedparagraph"/>
    <w:rsid w:val="00B45DF6"/>
    <w:rPr>
      <w:rFonts w:ascii="Calibri" w:hAnsi="Calibri"/>
      <w:b/>
      <w:sz w:val="22"/>
      <w:szCs w:val="22"/>
      <w:lang w:val="en-GB" w:eastAsia="en-GB"/>
    </w:rPr>
  </w:style>
  <w:style w:type="paragraph" w:customStyle="1" w:styleId="Numberedheading">
    <w:name w:val="Numbered_heading"/>
    <w:basedOn w:val="Heading1"/>
    <w:link w:val="NumberedheadingChar"/>
    <w:rsid w:val="004E3FA3"/>
  </w:style>
  <w:style w:type="character" w:customStyle="1" w:styleId="NumberedsubparagraphChar">
    <w:name w:val="Numbered_subparagraph Char"/>
    <w:basedOn w:val="ListParagraphChar"/>
    <w:link w:val="Numberedsubparagraph"/>
    <w:rsid w:val="00B45DF6"/>
    <w:rPr>
      <w:rFonts w:ascii="Calibri" w:eastAsiaTheme="minorHAnsi" w:hAnsi="Calibri" w:cstheme="minorBidi"/>
      <w:sz w:val="22"/>
      <w:szCs w:val="22"/>
      <w:lang w:val="en-GB" w:eastAsia="en-GB"/>
    </w:rPr>
  </w:style>
  <w:style w:type="paragraph" w:customStyle="1" w:styleId="Numberedsubheading">
    <w:name w:val="Numbered_subheading"/>
    <w:basedOn w:val="Heading2"/>
    <w:link w:val="NumberedsubheadingChar"/>
    <w:qFormat/>
    <w:rsid w:val="00D22F20"/>
  </w:style>
  <w:style w:type="character" w:customStyle="1" w:styleId="Heading1Char">
    <w:name w:val="Heading 1 Char"/>
    <w:basedOn w:val="DefaultParagraphFont"/>
    <w:link w:val="Heading1"/>
    <w:rsid w:val="004E3FA3"/>
    <w:rPr>
      <w:rFonts w:ascii="Calibri" w:hAnsi="Calibri"/>
      <w:b/>
      <w:color w:val="7F1399"/>
      <w:sz w:val="28"/>
      <w:szCs w:val="28"/>
      <w:lang w:eastAsia="en-GB"/>
    </w:rPr>
  </w:style>
  <w:style w:type="character" w:customStyle="1" w:styleId="NumberedheadingChar">
    <w:name w:val="Numbered_heading Char"/>
    <w:basedOn w:val="Heading1Char"/>
    <w:link w:val="Numberedheading"/>
    <w:rsid w:val="004E3FA3"/>
    <w:rPr>
      <w:rFonts w:ascii="Calibri" w:hAnsi="Calibri"/>
      <w:b/>
      <w:color w:val="7F1399"/>
      <w:sz w:val="28"/>
      <w:szCs w:val="28"/>
      <w:lang w:eastAsia="en-GB"/>
    </w:rPr>
  </w:style>
  <w:style w:type="paragraph" w:customStyle="1" w:styleId="Numberedanswerlevel1">
    <w:name w:val="Numbered_answer_level1"/>
    <w:basedOn w:val="Questionnumbered"/>
    <w:link w:val="Numberedanswerlevel1Char"/>
    <w:qFormat/>
    <w:rsid w:val="00D1431C"/>
    <w:pPr>
      <w:numPr>
        <w:ilvl w:val="1"/>
      </w:numPr>
      <w:spacing w:after="120"/>
    </w:pPr>
    <w:rPr>
      <w:lang w:val="en-GB"/>
    </w:rPr>
  </w:style>
  <w:style w:type="character" w:customStyle="1" w:styleId="Heading2Char">
    <w:name w:val="Heading 2 Char"/>
    <w:basedOn w:val="DefaultParagraphFont"/>
    <w:link w:val="Heading2"/>
    <w:rsid w:val="004E3FA3"/>
    <w:rPr>
      <w:rFonts w:asciiTheme="minorHAnsi" w:hAnsiTheme="minorHAnsi"/>
      <w:b/>
      <w:color w:val="7F1399"/>
      <w:sz w:val="24"/>
      <w:szCs w:val="24"/>
      <w:lang w:val="en-AU" w:eastAsia="en-US"/>
    </w:rPr>
  </w:style>
  <w:style w:type="character" w:customStyle="1" w:styleId="NumberedsubheadingChar">
    <w:name w:val="Numbered_subheading Char"/>
    <w:basedOn w:val="Heading2Char"/>
    <w:link w:val="Numberedsubheading"/>
    <w:rsid w:val="00D22F20"/>
    <w:rPr>
      <w:rFonts w:asciiTheme="minorHAnsi" w:hAnsiTheme="minorHAnsi"/>
      <w:b/>
      <w:color w:val="7F1399"/>
      <w:sz w:val="24"/>
      <w:szCs w:val="24"/>
      <w:lang w:val="en-AU" w:eastAsia="en-US"/>
    </w:rPr>
  </w:style>
  <w:style w:type="paragraph" w:customStyle="1" w:styleId="Questionnumbered">
    <w:name w:val="Question_numbered"/>
    <w:link w:val="QuestionnumberedChar"/>
    <w:qFormat/>
    <w:rsid w:val="00B45DF6"/>
    <w:pPr>
      <w:numPr>
        <w:numId w:val="10"/>
      </w:numPr>
    </w:pPr>
    <w:rPr>
      <w:rFonts w:ascii="Calibri" w:hAnsi="Calibri"/>
      <w:sz w:val="22"/>
      <w:szCs w:val="22"/>
      <w:lang w:eastAsia="en-GB"/>
    </w:rPr>
  </w:style>
  <w:style w:type="character" w:customStyle="1" w:styleId="Numberedanswerlevel1Char">
    <w:name w:val="Numbered_answer_level1 Char"/>
    <w:basedOn w:val="DefaultParagraphFont"/>
    <w:link w:val="Numberedanswerlevel1"/>
    <w:rsid w:val="00D1431C"/>
    <w:rPr>
      <w:rFonts w:ascii="Calibri" w:hAnsi="Calibri"/>
      <w:sz w:val="22"/>
      <w:szCs w:val="22"/>
      <w:lang w:val="en-GB" w:eastAsia="en-GB"/>
    </w:rPr>
  </w:style>
  <w:style w:type="character" w:customStyle="1" w:styleId="QuestionnumberedChar">
    <w:name w:val="Question_numbered Char"/>
    <w:basedOn w:val="DefaultParagraphFont"/>
    <w:link w:val="Questionnumbered"/>
    <w:rsid w:val="00B45DF6"/>
    <w:rPr>
      <w:rFonts w:ascii="Calibri" w:hAnsi="Calibri"/>
      <w:sz w:val="22"/>
      <w:szCs w:val="22"/>
      <w:lang w:eastAsia="en-GB"/>
    </w:rPr>
  </w:style>
  <w:style w:type="paragraph" w:customStyle="1" w:styleId="Numberedanswerlevel2">
    <w:name w:val="Numbered_answer_level2"/>
    <w:basedOn w:val="Numberedanswerlevel1"/>
    <w:link w:val="Numberedanswerlevel2Char"/>
    <w:qFormat/>
    <w:rsid w:val="00CB0095"/>
    <w:pPr>
      <w:numPr>
        <w:ilvl w:val="2"/>
      </w:numPr>
      <w:ind w:hanging="424"/>
    </w:pPr>
  </w:style>
  <w:style w:type="character" w:customStyle="1" w:styleId="Numberedanswerlevel2Char">
    <w:name w:val="Numbered_answer_level2 Char"/>
    <w:basedOn w:val="DefaultParagraphFont"/>
    <w:link w:val="Numberedanswerlevel2"/>
    <w:rsid w:val="00CB0095"/>
    <w:rPr>
      <w:rFonts w:ascii="Calibri" w:hAnsi="Calibri"/>
      <w:sz w:val="22"/>
      <w:szCs w:val="22"/>
      <w:lang w:val="en-GB" w:eastAsia="en-GB"/>
    </w:rPr>
  </w:style>
  <w:style w:type="paragraph" w:customStyle="1" w:styleId="Numberedanswerlevel3">
    <w:name w:val="Numbered_answer_level3"/>
    <w:basedOn w:val="Numberedanswerlevel2"/>
    <w:qFormat/>
    <w:rsid w:val="00B45DF6"/>
    <w:pPr>
      <w:numPr>
        <w:ilvl w:val="3"/>
      </w:numPr>
      <w:tabs>
        <w:tab w:val="clear" w:pos="1701"/>
        <w:tab w:val="num" w:pos="360"/>
      </w:tabs>
      <w:jc w:val="both"/>
      <w:outlineLvl w:val="2"/>
    </w:pPr>
  </w:style>
  <w:style w:type="paragraph" w:customStyle="1" w:styleId="Numberedanswerlevel4">
    <w:name w:val="Numbered_answer_level4"/>
    <w:basedOn w:val="Numberedanswerlevel3"/>
    <w:qFormat/>
    <w:rsid w:val="008A0E57"/>
    <w:pPr>
      <w:numPr>
        <w:ilvl w:val="4"/>
      </w:numPr>
      <w:tabs>
        <w:tab w:val="clear" w:pos="2835"/>
        <w:tab w:val="num" w:pos="360"/>
      </w:tabs>
    </w:pPr>
  </w:style>
  <w:style w:type="numbering" w:customStyle="1" w:styleId="QAnumbering">
    <w:name w:val="Q_A_numbering"/>
    <w:uiPriority w:val="99"/>
    <w:rsid w:val="008A0E57"/>
    <w:pPr>
      <w:numPr>
        <w:numId w:val="9"/>
      </w:numPr>
    </w:pPr>
  </w:style>
  <w:style w:type="paragraph" w:customStyle="1" w:styleId="Appendixheading">
    <w:name w:val="Appendix_heading"/>
    <w:basedOn w:val="Numberedheading"/>
    <w:link w:val="AppendixheadingChar"/>
    <w:rsid w:val="006053A9"/>
    <w:pPr>
      <w:numPr>
        <w:numId w:val="0"/>
      </w:numPr>
      <w:tabs>
        <w:tab w:val="left" w:pos="1560"/>
      </w:tabs>
    </w:pPr>
  </w:style>
  <w:style w:type="character" w:customStyle="1" w:styleId="AppendixheadingChar">
    <w:name w:val="Appendix_heading Char"/>
    <w:basedOn w:val="NumberedheadingChar"/>
    <w:link w:val="Appendixheading"/>
    <w:rsid w:val="00F50BF3"/>
    <w:rPr>
      <w:rFonts w:ascii="Calibri" w:hAnsi="Calibri"/>
      <w:b/>
      <w:color w:val="7F1399"/>
      <w:sz w:val="28"/>
      <w:szCs w:val="28"/>
      <w:lang w:eastAsia="en-GB"/>
    </w:rPr>
  </w:style>
  <w:style w:type="paragraph" w:customStyle="1" w:styleId="Tableofcontents">
    <w:name w:val="Table_of_contents"/>
    <w:basedOn w:val="Tableofcontents1"/>
    <w:link w:val="TableofcontentsChar"/>
    <w:qFormat/>
    <w:rsid w:val="00B644C4"/>
    <w:rPr>
      <w:b w:val="0"/>
    </w:rPr>
  </w:style>
  <w:style w:type="paragraph" w:customStyle="1" w:styleId="Tableofcontents1">
    <w:name w:val="Table_of_contents1"/>
    <w:basedOn w:val="TOC1"/>
    <w:link w:val="Tableofcontents1Char"/>
    <w:qFormat/>
    <w:rsid w:val="00D22F20"/>
    <w:rPr>
      <w:rFonts w:cstheme="minorHAnsi"/>
    </w:rPr>
  </w:style>
  <w:style w:type="character" w:customStyle="1" w:styleId="TOC1Char">
    <w:name w:val="TOC 1 Char"/>
    <w:basedOn w:val="DefaultParagraphFont"/>
    <w:link w:val="TOC1"/>
    <w:uiPriority w:val="39"/>
    <w:rsid w:val="003A262B"/>
    <w:rPr>
      <w:rFonts w:asciiTheme="minorHAnsi" w:eastAsia="Batang" w:hAnsiTheme="minorHAnsi"/>
      <w:b/>
      <w:noProof/>
      <w:sz w:val="24"/>
      <w:lang w:eastAsia="en-US"/>
    </w:rPr>
  </w:style>
  <w:style w:type="character" w:customStyle="1" w:styleId="TableofcontentsChar">
    <w:name w:val="Table_of_contents Char"/>
    <w:basedOn w:val="TOC1Char"/>
    <w:link w:val="Tableofcontents"/>
    <w:rsid w:val="00B644C4"/>
    <w:rPr>
      <w:rFonts w:asciiTheme="minorHAnsi" w:eastAsia="Batang" w:hAnsiTheme="minorHAnsi" w:cstheme="minorHAnsi"/>
      <w:b w:val="0"/>
      <w:bCs w:val="0"/>
      <w:noProof/>
      <w:sz w:val="24"/>
      <w:szCs w:val="24"/>
      <w:lang w:eastAsia="en-US"/>
    </w:rPr>
  </w:style>
  <w:style w:type="paragraph" w:customStyle="1" w:styleId="TOCsubmission">
    <w:name w:val="TOC_submission"/>
    <w:basedOn w:val="Tableofcontents"/>
    <w:link w:val="TOCsubmissionChar"/>
    <w:qFormat/>
    <w:rsid w:val="003030FD"/>
    <w:rPr>
      <w:sz w:val="20"/>
    </w:rPr>
  </w:style>
  <w:style w:type="character" w:customStyle="1" w:styleId="Tableofcontents1Char">
    <w:name w:val="Table_of_contents1 Char"/>
    <w:basedOn w:val="TOC1Char"/>
    <w:link w:val="Tableofcontents1"/>
    <w:rsid w:val="00D22F20"/>
    <w:rPr>
      <w:rFonts w:asciiTheme="minorHAnsi" w:eastAsia="Batang" w:hAnsiTheme="minorHAnsi" w:cstheme="minorHAnsi"/>
      <w:b/>
      <w:bCs w:val="0"/>
      <w:noProof/>
      <w:sz w:val="24"/>
      <w:szCs w:val="24"/>
      <w:lang w:eastAsia="en-US"/>
    </w:rPr>
  </w:style>
  <w:style w:type="character" w:customStyle="1" w:styleId="TOCsubmissionChar">
    <w:name w:val="TOC_submission Char"/>
    <w:basedOn w:val="TableofcontentsChar"/>
    <w:link w:val="TOCsubmission"/>
    <w:rsid w:val="003030FD"/>
    <w:rPr>
      <w:rFonts w:asciiTheme="minorHAnsi" w:eastAsia="Batang" w:hAnsiTheme="minorHAnsi" w:cstheme="minorHAnsi"/>
      <w:b w:val="0"/>
      <w:bCs w:val="0"/>
      <w:noProof/>
      <w:sz w:val="24"/>
      <w:szCs w:val="24"/>
      <w:lang w:eastAsia="en-US"/>
    </w:rPr>
  </w:style>
  <w:style w:type="numbering" w:customStyle="1" w:styleId="QAnumbering1">
    <w:name w:val="Q_A_numbering1"/>
    <w:uiPriority w:val="99"/>
    <w:rsid w:val="008C5CB5"/>
  </w:style>
  <w:style w:type="paragraph" w:customStyle="1" w:styleId="Outline1">
    <w:name w:val="Outline 1"/>
    <w:basedOn w:val="BodyText"/>
    <w:uiPriority w:val="3"/>
    <w:rsid w:val="00E357CC"/>
    <w:pPr>
      <w:numPr>
        <w:ilvl w:val="1"/>
        <w:numId w:val="12"/>
      </w:numPr>
      <w:spacing w:before="0" w:after="240" w:line="240" w:lineRule="atLeast"/>
      <w:jc w:val="left"/>
    </w:pPr>
    <w:rPr>
      <w:rFonts w:ascii="Arial" w:eastAsia="Times New Roman" w:hAnsi="Arial" w:cs="Arial"/>
      <w:sz w:val="21"/>
      <w:lang w:eastAsia="en-GB"/>
    </w:rPr>
  </w:style>
  <w:style w:type="paragraph" w:customStyle="1" w:styleId="Outline1Heading">
    <w:name w:val="Outline 1 Heading"/>
    <w:basedOn w:val="BodyText"/>
    <w:next w:val="Outline1"/>
    <w:uiPriority w:val="2"/>
    <w:rsid w:val="00E357CC"/>
    <w:pPr>
      <w:keepNext/>
      <w:numPr>
        <w:numId w:val="12"/>
      </w:numPr>
      <w:spacing w:before="240" w:line="240" w:lineRule="atLeast"/>
      <w:jc w:val="left"/>
      <w:outlineLvl w:val="0"/>
    </w:pPr>
    <w:rPr>
      <w:rFonts w:ascii="Arial" w:eastAsia="Times New Roman" w:hAnsi="Arial" w:cs="Arial"/>
      <w:b/>
      <w:color w:val="505050"/>
      <w:sz w:val="24"/>
      <w:lang w:eastAsia="en-GB"/>
    </w:rPr>
  </w:style>
  <w:style w:type="character" w:customStyle="1" w:styleId="FootnoteTextChar">
    <w:name w:val="Footnote Text Char"/>
    <w:aliases w:val="Footnote text Char"/>
    <w:basedOn w:val="DefaultParagraphFont"/>
    <w:link w:val="FootnoteText"/>
    <w:uiPriority w:val="6"/>
    <w:rsid w:val="00E357CC"/>
    <w:rPr>
      <w:rFonts w:ascii="Arial" w:eastAsia="Batang" w:hAnsi="Arial"/>
      <w:sz w:val="18"/>
      <w:lang w:eastAsia="en-US"/>
    </w:rPr>
  </w:style>
  <w:style w:type="paragraph" w:customStyle="1" w:styleId="Numericlist">
    <w:name w:val="Numeric list"/>
    <w:basedOn w:val="BodyText"/>
    <w:uiPriority w:val="4"/>
    <w:rsid w:val="00E357CC"/>
    <w:pPr>
      <w:numPr>
        <w:numId w:val="13"/>
      </w:numPr>
      <w:spacing w:before="0" w:after="240" w:line="240" w:lineRule="atLeast"/>
      <w:jc w:val="left"/>
    </w:pPr>
    <w:rPr>
      <w:rFonts w:ascii="Arial" w:eastAsia="Times New Roman" w:hAnsi="Arial" w:cs="Arial"/>
      <w:sz w:val="21"/>
    </w:rPr>
  </w:style>
  <w:style w:type="paragraph" w:customStyle="1" w:styleId="Appendixheading0">
    <w:name w:val="Appendix heading"/>
    <w:basedOn w:val="BodyText"/>
    <w:next w:val="BodyText"/>
    <w:uiPriority w:val="5"/>
    <w:rsid w:val="0086496C"/>
    <w:pPr>
      <w:keepNext/>
      <w:spacing w:before="240" w:line="280" w:lineRule="atLeast"/>
      <w:ind w:left="567"/>
      <w:jc w:val="left"/>
    </w:pPr>
    <w:rPr>
      <w:rFonts w:ascii="Arial" w:eastAsia="Times New Roman" w:hAnsi="Arial" w:cs="Arial"/>
      <w:b/>
      <w:color w:val="505050"/>
      <w:sz w:val="24"/>
      <w:lang w:eastAsia="en-GB"/>
    </w:rPr>
  </w:style>
  <w:style w:type="paragraph" w:customStyle="1" w:styleId="Appendixnumbering">
    <w:name w:val="Appendix numbering"/>
    <w:basedOn w:val="BodyText"/>
    <w:uiPriority w:val="5"/>
    <w:rsid w:val="0086496C"/>
    <w:pPr>
      <w:numPr>
        <w:numId w:val="14"/>
      </w:numPr>
      <w:spacing w:before="0" w:after="240" w:line="240" w:lineRule="atLeast"/>
      <w:jc w:val="left"/>
    </w:pPr>
    <w:rPr>
      <w:rFonts w:ascii="Arial" w:eastAsia="Times New Roman" w:hAnsi="Arial" w:cs="Arial"/>
      <w:sz w:val="21"/>
      <w:lang w:eastAsia="en-GB"/>
    </w:rPr>
  </w:style>
  <w:style w:type="paragraph" w:customStyle="1" w:styleId="AppendixSubheading">
    <w:name w:val="Appendix Subheading"/>
    <w:basedOn w:val="BodyText"/>
    <w:next w:val="BodyText"/>
    <w:uiPriority w:val="5"/>
    <w:rsid w:val="0086496C"/>
    <w:pPr>
      <w:keepNext/>
      <w:spacing w:before="60" w:line="280" w:lineRule="atLeast"/>
      <w:ind w:left="567"/>
      <w:jc w:val="left"/>
    </w:pPr>
    <w:rPr>
      <w:rFonts w:ascii="Arial" w:eastAsia="Times New Roman" w:hAnsi="Arial" w:cs="Arial"/>
      <w:b/>
      <w:color w:val="7D7D7D"/>
      <w:sz w:val="21"/>
      <w:lang w:eastAsia="en-GB"/>
    </w:rPr>
  </w:style>
  <w:style w:type="paragraph" w:customStyle="1" w:styleId="Outline2">
    <w:name w:val="Outline 2"/>
    <w:basedOn w:val="BodyText"/>
    <w:uiPriority w:val="3"/>
    <w:rsid w:val="0086496C"/>
    <w:pPr>
      <w:numPr>
        <w:numId w:val="15"/>
      </w:numPr>
      <w:spacing w:before="0" w:after="240" w:line="240" w:lineRule="atLeast"/>
      <w:jc w:val="left"/>
    </w:pPr>
    <w:rPr>
      <w:rFonts w:ascii="Arial" w:eastAsia="Times New Roman" w:hAnsi="Arial" w:cs="Arial"/>
      <w:sz w:val="21"/>
      <w:lang w:eastAsia="en-GB"/>
    </w:rPr>
  </w:style>
  <w:style w:type="paragraph" w:customStyle="1" w:styleId="Quotation">
    <w:name w:val="Quotation"/>
    <w:basedOn w:val="BodyText"/>
    <w:unhideWhenUsed/>
    <w:rsid w:val="0086496C"/>
    <w:pPr>
      <w:spacing w:before="0" w:after="240" w:line="240" w:lineRule="atLeast"/>
      <w:ind w:left="851" w:right="851"/>
      <w:jc w:val="left"/>
    </w:pPr>
    <w:rPr>
      <w:rFonts w:ascii="Arial" w:eastAsia="Times New Roman" w:hAnsi="Arial" w:cs="Arial"/>
      <w:sz w:val="19"/>
      <w:szCs w:val="19"/>
      <w:lang w:eastAsia="en-GB"/>
    </w:rPr>
  </w:style>
  <w:style w:type="paragraph" w:customStyle="1" w:styleId="StyleGuideHeading">
    <w:name w:val="Style Guide Heading"/>
    <w:basedOn w:val="BodyText"/>
    <w:next w:val="BodyText"/>
    <w:semiHidden/>
    <w:rsid w:val="0086496C"/>
    <w:pPr>
      <w:spacing w:before="240" w:line="240" w:lineRule="atLeast"/>
      <w:ind w:left="0"/>
      <w:jc w:val="left"/>
    </w:pPr>
    <w:rPr>
      <w:rFonts w:ascii="Arial" w:eastAsia="Times New Roman" w:hAnsi="Arial" w:cs="Arial"/>
      <w:b/>
      <w:color w:val="505050"/>
      <w:sz w:val="21"/>
      <w:lang w:eastAsia="en-GB"/>
    </w:rPr>
  </w:style>
  <w:style w:type="paragraph" w:customStyle="1" w:styleId="Tablebodytext1">
    <w:name w:val="Table body text"/>
    <w:basedOn w:val="BodyText"/>
    <w:semiHidden/>
    <w:rsid w:val="0086496C"/>
    <w:pPr>
      <w:spacing w:before="60" w:after="60" w:line="240" w:lineRule="atLeast"/>
      <w:ind w:left="85" w:right="85"/>
      <w:jc w:val="left"/>
    </w:pPr>
    <w:rPr>
      <w:rFonts w:ascii="Arial" w:eastAsia="Times New Roman" w:hAnsi="Arial" w:cs="Arial"/>
      <w:sz w:val="21"/>
      <w:lang w:eastAsia="en-GB"/>
    </w:rPr>
  </w:style>
  <w:style w:type="paragraph" w:customStyle="1" w:styleId="TableHeading0">
    <w:name w:val="Table Heading"/>
    <w:basedOn w:val="BodyText"/>
    <w:semiHidden/>
    <w:rsid w:val="0086496C"/>
    <w:pPr>
      <w:spacing w:before="60" w:after="60" w:line="240" w:lineRule="atLeast"/>
      <w:ind w:left="85" w:right="85"/>
      <w:jc w:val="left"/>
    </w:pPr>
    <w:rPr>
      <w:rFonts w:ascii="Arial" w:eastAsia="Times New Roman" w:hAnsi="Arial" w:cs="Arial"/>
      <w:b/>
      <w:sz w:val="21"/>
      <w:lang w:eastAsia="en-GB"/>
    </w:rPr>
  </w:style>
  <w:style w:type="paragraph" w:customStyle="1" w:styleId="Titledate">
    <w:name w:val="Title date"/>
    <w:basedOn w:val="BodyText"/>
    <w:next w:val="BodyText"/>
    <w:uiPriority w:val="99"/>
    <w:rsid w:val="0086496C"/>
    <w:pPr>
      <w:spacing w:before="600" w:after="360" w:line="240" w:lineRule="atLeast"/>
      <w:ind w:left="-1247"/>
      <w:jc w:val="center"/>
    </w:pPr>
    <w:rPr>
      <w:rFonts w:ascii="Arial" w:eastAsia="Times New Roman" w:hAnsi="Arial" w:cs="Arial"/>
      <w:b/>
      <w:sz w:val="24"/>
      <w:lang w:eastAsia="en-GB"/>
    </w:rPr>
  </w:style>
  <w:style w:type="paragraph" w:customStyle="1" w:styleId="zAddressDetails">
    <w:name w:val="z_Address Details"/>
    <w:basedOn w:val="Normal"/>
    <w:semiHidden/>
    <w:rsid w:val="0086496C"/>
    <w:pPr>
      <w:spacing w:line="240" w:lineRule="atLeast"/>
      <w:jc w:val="left"/>
    </w:pPr>
    <w:rPr>
      <w:rFonts w:eastAsia="Times New Roman"/>
      <w:sz w:val="21"/>
      <w:lang w:eastAsia="en-GB"/>
    </w:rPr>
  </w:style>
  <w:style w:type="paragraph" w:customStyle="1" w:styleId="zAttention">
    <w:name w:val="z_Attention"/>
    <w:basedOn w:val="Normal"/>
    <w:semiHidden/>
    <w:rsid w:val="0086496C"/>
    <w:pPr>
      <w:spacing w:before="360" w:line="240" w:lineRule="atLeast"/>
      <w:jc w:val="left"/>
    </w:pPr>
    <w:rPr>
      <w:rFonts w:eastAsia="Times New Roman"/>
      <w:sz w:val="21"/>
      <w:lang w:eastAsia="en-GB"/>
    </w:rPr>
  </w:style>
  <w:style w:type="paragraph" w:customStyle="1" w:styleId="zAuthor">
    <w:name w:val="z_Author"/>
    <w:basedOn w:val="BodyText"/>
    <w:semiHidden/>
    <w:rsid w:val="0086496C"/>
    <w:pPr>
      <w:spacing w:before="1140" w:after="0" w:line="240" w:lineRule="atLeast"/>
      <w:ind w:left="0"/>
      <w:jc w:val="left"/>
    </w:pPr>
    <w:rPr>
      <w:rFonts w:ascii="Arial" w:eastAsia="Times New Roman" w:hAnsi="Arial" w:cs="Arial"/>
      <w:b/>
      <w:bCs/>
      <w:sz w:val="21"/>
      <w:lang w:eastAsia="en-GB"/>
    </w:rPr>
  </w:style>
  <w:style w:type="paragraph" w:customStyle="1" w:styleId="zCompany">
    <w:name w:val="z_Company"/>
    <w:basedOn w:val="Normal"/>
    <w:semiHidden/>
    <w:rsid w:val="0086496C"/>
    <w:pPr>
      <w:spacing w:before="100" w:line="240" w:lineRule="atLeast"/>
      <w:jc w:val="left"/>
    </w:pPr>
    <w:rPr>
      <w:rFonts w:eastAsia="Times New Roman"/>
      <w:b/>
      <w:bCs/>
      <w:color w:val="E96311"/>
      <w:sz w:val="21"/>
      <w:lang w:eastAsia="en-GB"/>
    </w:rPr>
  </w:style>
  <w:style w:type="paragraph" w:customStyle="1" w:styleId="zCompany2">
    <w:name w:val="z_Company 2"/>
    <w:basedOn w:val="Normal"/>
    <w:semiHidden/>
    <w:rsid w:val="0086496C"/>
    <w:pPr>
      <w:spacing w:after="100"/>
      <w:ind w:right="284"/>
      <w:jc w:val="left"/>
    </w:pPr>
    <w:rPr>
      <w:rFonts w:eastAsia="Times New Roman" w:cs="Arial"/>
      <w:color w:val="505050"/>
      <w:sz w:val="19"/>
      <w:szCs w:val="19"/>
      <w:lang w:eastAsia="en-GB"/>
    </w:rPr>
  </w:style>
  <w:style w:type="paragraph" w:customStyle="1" w:styleId="zConfidential">
    <w:name w:val="z_Confidential"/>
    <w:basedOn w:val="Normal"/>
    <w:semiHidden/>
    <w:rsid w:val="0086496C"/>
    <w:pPr>
      <w:spacing w:before="120" w:after="360" w:line="240" w:lineRule="atLeast"/>
      <w:jc w:val="left"/>
    </w:pPr>
    <w:rPr>
      <w:rFonts w:eastAsia="Times New Roman" w:cs="Arial"/>
      <w:b/>
      <w:sz w:val="21"/>
      <w:lang w:eastAsia="en-GB"/>
    </w:rPr>
  </w:style>
  <w:style w:type="paragraph" w:customStyle="1" w:styleId="zCopiesTo">
    <w:name w:val="z_CopiesTo"/>
    <w:basedOn w:val="Normal"/>
    <w:semiHidden/>
    <w:rsid w:val="0086496C"/>
    <w:pPr>
      <w:spacing w:before="120" w:after="120" w:line="240" w:lineRule="atLeast"/>
      <w:ind w:left="720" w:hanging="720"/>
      <w:jc w:val="left"/>
    </w:pPr>
    <w:rPr>
      <w:rFonts w:eastAsia="Times New Roman"/>
      <w:sz w:val="21"/>
      <w:lang w:eastAsia="en-GB"/>
    </w:rPr>
  </w:style>
  <w:style w:type="paragraph" w:customStyle="1" w:styleId="zDate">
    <w:name w:val="z_Date"/>
    <w:basedOn w:val="BodyText"/>
    <w:semiHidden/>
    <w:rsid w:val="0086496C"/>
    <w:pPr>
      <w:spacing w:before="0" w:after="360" w:line="240" w:lineRule="atLeast"/>
      <w:ind w:left="0"/>
      <w:jc w:val="left"/>
    </w:pPr>
    <w:rPr>
      <w:rFonts w:ascii="Arial" w:eastAsia="Times New Roman" w:hAnsi="Arial" w:cs="Arial"/>
      <w:sz w:val="21"/>
      <w:lang w:eastAsia="en-GB"/>
    </w:rPr>
  </w:style>
  <w:style w:type="paragraph" w:customStyle="1" w:styleId="zDear">
    <w:name w:val="z_Dear"/>
    <w:basedOn w:val="BodyText"/>
    <w:semiHidden/>
    <w:rsid w:val="0086496C"/>
    <w:pPr>
      <w:spacing w:before="600" w:after="240" w:line="240" w:lineRule="atLeast"/>
      <w:ind w:left="0"/>
      <w:jc w:val="left"/>
    </w:pPr>
    <w:rPr>
      <w:rFonts w:ascii="Arial" w:eastAsia="Times New Roman" w:hAnsi="Arial" w:cs="Arial"/>
      <w:sz w:val="21"/>
      <w:lang w:eastAsia="en-GB"/>
    </w:rPr>
  </w:style>
  <w:style w:type="paragraph" w:customStyle="1" w:styleId="zDesignation">
    <w:name w:val="z_Designation"/>
    <w:basedOn w:val="Normal"/>
    <w:semiHidden/>
    <w:rsid w:val="0086496C"/>
    <w:pPr>
      <w:spacing w:line="240" w:lineRule="atLeast"/>
      <w:jc w:val="left"/>
    </w:pPr>
    <w:rPr>
      <w:rFonts w:eastAsia="Times New Roman"/>
      <w:b/>
      <w:color w:val="808080"/>
      <w:sz w:val="19"/>
      <w:lang w:eastAsia="en-GB"/>
    </w:rPr>
  </w:style>
  <w:style w:type="paragraph" w:customStyle="1" w:styleId="zDMSRef">
    <w:name w:val="z_DMS Ref"/>
    <w:basedOn w:val="Normal"/>
    <w:next w:val="Normal"/>
    <w:semiHidden/>
    <w:rsid w:val="0086496C"/>
    <w:pPr>
      <w:tabs>
        <w:tab w:val="left" w:pos="7229"/>
      </w:tabs>
      <w:spacing w:line="240" w:lineRule="atLeast"/>
      <w:jc w:val="left"/>
    </w:pPr>
    <w:rPr>
      <w:rFonts w:eastAsia="Times New Roman"/>
      <w:sz w:val="16"/>
      <w:lang w:eastAsia="en-GB"/>
    </w:rPr>
  </w:style>
  <w:style w:type="paragraph" w:customStyle="1" w:styleId="zFaxFooter">
    <w:name w:val="z_Fax Footer"/>
    <w:basedOn w:val="Normal"/>
    <w:semiHidden/>
    <w:rsid w:val="0086496C"/>
    <w:pPr>
      <w:tabs>
        <w:tab w:val="center" w:pos="4848"/>
        <w:tab w:val="right" w:pos="9696"/>
      </w:tabs>
      <w:spacing w:after="340" w:line="240" w:lineRule="atLeast"/>
      <w:jc w:val="left"/>
    </w:pPr>
    <w:rPr>
      <w:rFonts w:ascii="Arial Narrow" w:eastAsia="Times New Roman" w:hAnsi="Arial Narrow"/>
      <w:caps/>
      <w:sz w:val="16"/>
      <w:lang w:eastAsia="en-GB"/>
    </w:rPr>
  </w:style>
  <w:style w:type="paragraph" w:customStyle="1" w:styleId="zSignoff">
    <w:name w:val="z_Sign off"/>
    <w:basedOn w:val="Normal"/>
    <w:semiHidden/>
    <w:rsid w:val="0086496C"/>
    <w:pPr>
      <w:keepNext/>
      <w:spacing w:before="120" w:line="240" w:lineRule="atLeast"/>
      <w:jc w:val="left"/>
    </w:pPr>
    <w:rPr>
      <w:rFonts w:eastAsia="Times New Roman"/>
      <w:sz w:val="21"/>
      <w:lang w:eastAsia="en-GB"/>
    </w:rPr>
  </w:style>
  <w:style w:type="paragraph" w:customStyle="1" w:styleId="zSignOffBlock">
    <w:name w:val="z_Sign Off Block"/>
    <w:basedOn w:val="Normal"/>
    <w:semiHidden/>
    <w:rsid w:val="0086496C"/>
    <w:pPr>
      <w:jc w:val="left"/>
    </w:pPr>
    <w:rPr>
      <w:rFonts w:eastAsia="Times New Roman" w:cs="Arial"/>
      <w:color w:val="505050"/>
      <w:sz w:val="18"/>
      <w:szCs w:val="18"/>
      <w:lang w:eastAsia="en-GB"/>
    </w:rPr>
  </w:style>
  <w:style w:type="paragraph" w:customStyle="1" w:styleId="zSubject">
    <w:name w:val="z_Subject"/>
    <w:basedOn w:val="BodyText"/>
    <w:semiHidden/>
    <w:rsid w:val="0086496C"/>
    <w:pPr>
      <w:spacing w:after="360" w:line="240" w:lineRule="atLeast"/>
      <w:ind w:left="0"/>
      <w:jc w:val="left"/>
    </w:pPr>
    <w:rPr>
      <w:rFonts w:ascii="Arial" w:eastAsia="Times New Roman" w:hAnsi="Arial" w:cs="Arial"/>
      <w:b/>
      <w:sz w:val="21"/>
      <w:lang w:eastAsia="en-GB"/>
    </w:rPr>
  </w:style>
  <w:style w:type="paragraph" w:customStyle="1" w:styleId="zTFW">
    <w:name w:val="z_T/F/W"/>
    <w:basedOn w:val="Normal"/>
    <w:semiHidden/>
    <w:rsid w:val="0086496C"/>
    <w:pPr>
      <w:framePr w:w="1894" w:hSpace="181" w:wrap="around" w:vAnchor="page" w:hAnchor="page" w:x="9181" w:y="2717" w:anchorLock="1"/>
      <w:tabs>
        <w:tab w:val="left" w:pos="284"/>
      </w:tabs>
      <w:spacing w:after="40" w:line="230" w:lineRule="auto"/>
      <w:jc w:val="left"/>
    </w:pPr>
    <w:rPr>
      <w:rFonts w:ascii="Arial Narrow" w:eastAsia="Times New Roman" w:hAnsi="Arial Narrow"/>
      <w:noProof/>
      <w:sz w:val="16"/>
      <w:lang w:eastAsia="en-GB"/>
    </w:rPr>
  </w:style>
  <w:style w:type="paragraph" w:customStyle="1" w:styleId="zFooterOddLandscape">
    <w:name w:val="z_Footer Odd Landscape"/>
    <w:basedOn w:val="BodyText"/>
    <w:next w:val="Footer"/>
    <w:semiHidden/>
    <w:rsid w:val="0086496C"/>
    <w:pPr>
      <w:tabs>
        <w:tab w:val="right" w:pos="9129"/>
      </w:tabs>
      <w:spacing w:before="0" w:after="0"/>
      <w:ind w:left="0"/>
      <w:jc w:val="right"/>
    </w:pPr>
    <w:rPr>
      <w:rFonts w:ascii="Arial Narrow" w:eastAsia="Times New Roman" w:hAnsi="Arial Narrow"/>
      <w:caps/>
      <w:sz w:val="16"/>
    </w:rPr>
  </w:style>
  <w:style w:type="paragraph" w:customStyle="1" w:styleId="zFooterEvenLandscape">
    <w:name w:val="z_Footer Even Landscape"/>
    <w:basedOn w:val="zFooterOddLandscape"/>
    <w:semiHidden/>
    <w:rsid w:val="0086496C"/>
    <w:pPr>
      <w:jc w:val="left"/>
    </w:pPr>
  </w:style>
  <w:style w:type="paragraph" w:customStyle="1" w:styleId="zFooterOddPortrait">
    <w:name w:val="z_Footer Odd Portrait"/>
    <w:basedOn w:val="BodyText"/>
    <w:next w:val="BodyText"/>
    <w:semiHidden/>
    <w:rsid w:val="0086496C"/>
    <w:pPr>
      <w:tabs>
        <w:tab w:val="right" w:pos="9129"/>
      </w:tabs>
      <w:spacing w:before="0" w:after="0"/>
      <w:ind w:left="0"/>
      <w:jc w:val="right"/>
    </w:pPr>
    <w:rPr>
      <w:rFonts w:ascii="Arial Narrow" w:eastAsia="Times New Roman" w:hAnsi="Arial Narrow"/>
      <w:caps/>
      <w:sz w:val="16"/>
    </w:rPr>
  </w:style>
  <w:style w:type="paragraph" w:customStyle="1" w:styleId="zFooterEvenPortrait">
    <w:name w:val="z_Footer Even Portrait"/>
    <w:basedOn w:val="zFooterOddPortrait"/>
    <w:semiHidden/>
    <w:rsid w:val="0086496C"/>
    <w:pPr>
      <w:jc w:val="left"/>
    </w:pPr>
  </w:style>
  <w:style w:type="paragraph" w:customStyle="1" w:styleId="zHeaderOdd">
    <w:name w:val="z_Header Odd"/>
    <w:basedOn w:val="BodyText"/>
    <w:next w:val="BodyText"/>
    <w:semiHidden/>
    <w:rsid w:val="0086496C"/>
    <w:pPr>
      <w:spacing w:before="0" w:after="0"/>
      <w:ind w:left="0"/>
      <w:jc w:val="right"/>
    </w:pPr>
    <w:rPr>
      <w:rFonts w:ascii="Arial" w:eastAsia="Times New Roman" w:hAnsi="Arial"/>
      <w:sz w:val="16"/>
    </w:rPr>
  </w:style>
  <w:style w:type="paragraph" w:customStyle="1" w:styleId="zHeaderEven">
    <w:name w:val="z_Header Even"/>
    <w:basedOn w:val="zHeaderOdd"/>
    <w:semiHidden/>
    <w:rsid w:val="0086496C"/>
    <w:pPr>
      <w:jc w:val="left"/>
    </w:pPr>
  </w:style>
  <w:style w:type="paragraph" w:customStyle="1" w:styleId="Heading2notinTOC">
    <w:name w:val="Heading 2 not in TOC"/>
    <w:basedOn w:val="BodyText"/>
    <w:rsid w:val="0086496C"/>
    <w:pPr>
      <w:keepNext/>
      <w:spacing w:before="60" w:line="280" w:lineRule="atLeast"/>
      <w:ind w:left="567"/>
      <w:jc w:val="left"/>
    </w:pPr>
    <w:rPr>
      <w:rFonts w:ascii="Arial" w:eastAsia="Times New Roman" w:hAnsi="Arial" w:cs="Arial"/>
      <w:b/>
      <w:color w:val="7D7D7D"/>
      <w:sz w:val="21"/>
      <w:lang w:eastAsia="en-GB"/>
    </w:rPr>
  </w:style>
  <w:style w:type="paragraph" w:customStyle="1" w:styleId="Emailbullet">
    <w:name w:val="Email bullet"/>
    <w:basedOn w:val="Normal"/>
    <w:uiPriority w:val="4"/>
    <w:rsid w:val="0086496C"/>
    <w:pPr>
      <w:numPr>
        <w:numId w:val="16"/>
      </w:numPr>
      <w:spacing w:line="240" w:lineRule="atLeast"/>
      <w:jc w:val="left"/>
    </w:pPr>
    <w:rPr>
      <w:rFonts w:eastAsia="Times New Roman"/>
      <w:sz w:val="21"/>
      <w:lang w:eastAsia="en-GB"/>
    </w:rPr>
  </w:style>
  <w:style w:type="paragraph" w:customStyle="1" w:styleId="zSignOffBlockAddress">
    <w:name w:val="z_Sign Off Block Address"/>
    <w:basedOn w:val="zSignOffBlock"/>
    <w:semiHidden/>
    <w:rsid w:val="0086496C"/>
    <w:rPr>
      <w:sz w:val="16"/>
    </w:rPr>
  </w:style>
  <w:style w:type="character" w:customStyle="1" w:styleId="BalloonTextChar">
    <w:name w:val="Balloon Text Char"/>
    <w:basedOn w:val="DefaultParagraphFont"/>
    <w:link w:val="BalloonText"/>
    <w:rsid w:val="0086496C"/>
    <w:rPr>
      <w:rFonts w:ascii="Tahoma" w:eastAsia="Batang" w:hAnsi="Tahoma" w:cs="Tahoma"/>
      <w:sz w:val="16"/>
      <w:szCs w:val="16"/>
      <w:lang w:eastAsia="en-US"/>
    </w:rPr>
  </w:style>
  <w:style w:type="character" w:customStyle="1" w:styleId="CommentTextChar">
    <w:name w:val="Comment Text Char"/>
    <w:basedOn w:val="DefaultParagraphFont"/>
    <w:link w:val="CommentText"/>
    <w:rsid w:val="0086496C"/>
    <w:rPr>
      <w:rFonts w:ascii="Arial" w:eastAsia="Batang" w:hAnsi="Arial"/>
      <w:lang w:eastAsia="en-US"/>
    </w:rPr>
  </w:style>
  <w:style w:type="character" w:customStyle="1" w:styleId="CommentSubjectChar">
    <w:name w:val="Comment Subject Char"/>
    <w:basedOn w:val="CommentTextChar"/>
    <w:link w:val="CommentSubject"/>
    <w:semiHidden/>
    <w:rsid w:val="0086496C"/>
    <w:rPr>
      <w:rFonts w:ascii="Arial" w:eastAsia="Batang" w:hAnsi="Arial"/>
      <w:b/>
      <w:bCs/>
      <w:lang w:eastAsia="en-US"/>
    </w:rPr>
  </w:style>
  <w:style w:type="paragraph" w:customStyle="1" w:styleId="Footnoteformat">
    <w:name w:val="Footnote format"/>
    <w:basedOn w:val="FootnoteText"/>
    <w:link w:val="FootnoteformatChar"/>
    <w:rsid w:val="0086496C"/>
    <w:pPr>
      <w:tabs>
        <w:tab w:val="left" w:pos="284"/>
        <w:tab w:val="left" w:pos="567"/>
      </w:tabs>
      <w:ind w:left="170" w:hanging="170"/>
      <w:jc w:val="left"/>
    </w:pPr>
    <w:rPr>
      <w:rFonts w:asciiTheme="minorHAnsi" w:eastAsiaTheme="minorEastAsia" w:hAnsiTheme="minorHAnsi" w:cstheme="minorBidi"/>
      <w:color w:val="808080"/>
      <w:szCs w:val="18"/>
      <w:lang w:eastAsia="en-GB"/>
    </w:rPr>
  </w:style>
  <w:style w:type="character" w:customStyle="1" w:styleId="FootnoteformatChar">
    <w:name w:val="Footnote format Char"/>
    <w:basedOn w:val="FootnoteTextChar"/>
    <w:link w:val="Footnoteformat"/>
    <w:rsid w:val="0086496C"/>
    <w:rPr>
      <w:rFonts w:asciiTheme="minorHAnsi" w:eastAsiaTheme="minorEastAsia" w:hAnsiTheme="minorHAnsi" w:cstheme="minorBidi"/>
      <w:color w:val="808080"/>
      <w:sz w:val="18"/>
      <w:szCs w:val="18"/>
      <w:lang w:eastAsia="en-GB"/>
    </w:rPr>
  </w:style>
  <w:style w:type="character" w:customStyle="1" w:styleId="DeltaViewDeletion">
    <w:name w:val="DeltaView Deletion"/>
    <w:uiPriority w:val="99"/>
    <w:rsid w:val="0086496C"/>
    <w:rPr>
      <w:strike/>
      <w:color w:val="FF0000"/>
    </w:rPr>
  </w:style>
  <w:style w:type="paragraph" w:customStyle="1" w:styleId="Appendixheading2">
    <w:name w:val="Appendix heading 2"/>
    <w:basedOn w:val="Heading2"/>
    <w:link w:val="Appendixheading2Char"/>
    <w:qFormat/>
    <w:rsid w:val="005B5539"/>
    <w:pPr>
      <w:numPr>
        <w:numId w:val="18"/>
      </w:numPr>
    </w:pPr>
  </w:style>
  <w:style w:type="paragraph" w:customStyle="1" w:styleId="Appendixheading3">
    <w:name w:val="Appendix heading 3"/>
    <w:basedOn w:val="Numberedparagraph"/>
    <w:link w:val="Appendixheading3Char"/>
    <w:qFormat/>
    <w:rsid w:val="00D94BB5"/>
    <w:pPr>
      <w:numPr>
        <w:numId w:val="18"/>
      </w:numPr>
    </w:pPr>
    <w:rPr>
      <w:b w:val="0"/>
    </w:rPr>
  </w:style>
  <w:style w:type="character" w:customStyle="1" w:styleId="Appendixheading2Char">
    <w:name w:val="Appendix heading 2 Char"/>
    <w:basedOn w:val="Heading2Char"/>
    <w:link w:val="Appendixheading2"/>
    <w:rsid w:val="005B5539"/>
    <w:rPr>
      <w:rFonts w:asciiTheme="minorHAnsi" w:hAnsiTheme="minorHAnsi"/>
      <w:b/>
      <w:color w:val="7F1399"/>
      <w:sz w:val="24"/>
      <w:szCs w:val="24"/>
      <w:lang w:val="en-AU" w:eastAsia="en-US"/>
    </w:rPr>
  </w:style>
  <w:style w:type="paragraph" w:customStyle="1" w:styleId="Appendixheading1">
    <w:name w:val="Appendix heading 1"/>
    <w:basedOn w:val="Appendixheading"/>
    <w:link w:val="Appendixheading1Char"/>
    <w:qFormat/>
    <w:rsid w:val="00562FBB"/>
    <w:pPr>
      <w:numPr>
        <w:numId w:val="18"/>
      </w:numPr>
    </w:pPr>
  </w:style>
  <w:style w:type="character" w:customStyle="1" w:styleId="Appendixheading3Char">
    <w:name w:val="Appendix heading 3 Char"/>
    <w:basedOn w:val="NumberedparagraphChar"/>
    <w:link w:val="Appendixheading3"/>
    <w:rsid w:val="00D94BB5"/>
    <w:rPr>
      <w:rFonts w:ascii="Calibri" w:hAnsi="Calibri"/>
      <w:b w:val="0"/>
      <w:sz w:val="22"/>
      <w:szCs w:val="22"/>
      <w:lang w:val="en-GB" w:eastAsia="en-GB"/>
    </w:rPr>
  </w:style>
  <w:style w:type="paragraph" w:customStyle="1" w:styleId="Table">
    <w:name w:val="Table"/>
    <w:basedOn w:val="Normal"/>
    <w:rsid w:val="00A52DCB"/>
    <w:pPr>
      <w:spacing w:before="120" w:after="120" w:line="240" w:lineRule="atLeast"/>
      <w:jc w:val="left"/>
    </w:pPr>
    <w:rPr>
      <w:rFonts w:eastAsia="Times New Roman"/>
      <w:color w:val="000000"/>
      <w:lang w:val="en-AU"/>
    </w:rPr>
  </w:style>
  <w:style w:type="character" w:customStyle="1" w:styleId="Appendixheading1Char">
    <w:name w:val="Appendix heading 1 Char"/>
    <w:basedOn w:val="AppendixheadingChar"/>
    <w:link w:val="Appendixheading1"/>
    <w:rsid w:val="00562FBB"/>
    <w:rPr>
      <w:rFonts w:ascii="Calibri" w:hAnsi="Calibri"/>
      <w:b/>
      <w:color w:val="7F1399"/>
      <w:sz w:val="28"/>
      <w:szCs w:val="28"/>
      <w:lang w:eastAsia="en-GB"/>
    </w:rPr>
  </w:style>
  <w:style w:type="paragraph" w:customStyle="1" w:styleId="Sch1">
    <w:name w:val="Sch 1"/>
    <w:basedOn w:val="Heading1"/>
    <w:next w:val="BodyText"/>
    <w:rsid w:val="00A52DCB"/>
    <w:pPr>
      <w:numPr>
        <w:numId w:val="22"/>
      </w:numPr>
      <w:pBdr>
        <w:top w:val="single" w:sz="4" w:space="6" w:color="auto"/>
      </w:pBdr>
      <w:spacing w:before="0" w:after="240"/>
      <w:jc w:val="left"/>
    </w:pPr>
    <w:rPr>
      <w:rFonts w:ascii="Arial Bold" w:hAnsi="Arial Bold"/>
      <w:b w:val="0"/>
      <w:color w:val="195988"/>
      <w:kern w:val="28"/>
      <w:lang w:val="en-AU" w:eastAsia="en-US"/>
    </w:rPr>
  </w:style>
  <w:style w:type="paragraph" w:customStyle="1" w:styleId="DeedHeading">
    <w:name w:val="Deed_Heading"/>
    <w:basedOn w:val="Normal"/>
    <w:next w:val="BodyText"/>
    <w:rsid w:val="00A52DCB"/>
    <w:pPr>
      <w:pBdr>
        <w:top w:val="single" w:sz="24" w:space="7" w:color="7293B9"/>
      </w:pBdr>
      <w:spacing w:line="440" w:lineRule="exact"/>
      <w:jc w:val="left"/>
    </w:pPr>
    <w:rPr>
      <w:rFonts w:ascii="Arial Black" w:eastAsia="Times New Roman" w:hAnsi="Arial Black"/>
      <w:sz w:val="44"/>
      <w:lang w:val="en-AU"/>
    </w:rPr>
  </w:style>
  <w:style w:type="paragraph" w:customStyle="1" w:styleId="DeedSubHeading">
    <w:name w:val="Deed_SubHeading"/>
    <w:basedOn w:val="Normal"/>
    <w:rsid w:val="00A52DCB"/>
    <w:pPr>
      <w:spacing w:before="120" w:line="440" w:lineRule="exact"/>
      <w:jc w:val="left"/>
    </w:pPr>
    <w:rPr>
      <w:rFonts w:eastAsia="Times New Roman"/>
      <w:spacing w:val="-8"/>
      <w:sz w:val="44"/>
      <w:szCs w:val="44"/>
      <w:lang w:val="en-AU"/>
    </w:rPr>
  </w:style>
  <w:style w:type="paragraph" w:customStyle="1" w:styleId="DeedTitle">
    <w:name w:val="Deed_Title"/>
    <w:basedOn w:val="Normal"/>
    <w:rsid w:val="00A52DCB"/>
    <w:pPr>
      <w:spacing w:before="260"/>
      <w:jc w:val="left"/>
    </w:pPr>
    <w:rPr>
      <w:rFonts w:eastAsia="Times New Roman"/>
      <w:b/>
      <w:color w:val="000000"/>
      <w:sz w:val="24"/>
      <w:szCs w:val="24"/>
      <w:lang w:val="en-AU"/>
    </w:rPr>
  </w:style>
  <w:style w:type="paragraph" w:customStyle="1" w:styleId="Sch2">
    <w:name w:val="Sch 2"/>
    <w:basedOn w:val="Heading2"/>
    <w:next w:val="BodyText"/>
    <w:rsid w:val="00A52DCB"/>
    <w:pPr>
      <w:numPr>
        <w:numId w:val="22"/>
      </w:numPr>
      <w:spacing w:before="0" w:after="240"/>
      <w:jc w:val="left"/>
    </w:pPr>
    <w:rPr>
      <w:rFonts w:ascii="Arial Bold" w:hAnsi="Arial Bold"/>
      <w:color w:val="000000"/>
      <w:sz w:val="20"/>
      <w:szCs w:val="20"/>
    </w:rPr>
  </w:style>
  <w:style w:type="paragraph" w:customStyle="1" w:styleId="Sch3">
    <w:name w:val="Sch 3"/>
    <w:basedOn w:val="Heading3"/>
    <w:rsid w:val="00A52DCB"/>
    <w:pPr>
      <w:numPr>
        <w:numId w:val="22"/>
      </w:numPr>
      <w:spacing w:after="240"/>
      <w:jc w:val="left"/>
    </w:pPr>
    <w:rPr>
      <w:b/>
      <w:color w:val="000000"/>
    </w:rPr>
  </w:style>
  <w:style w:type="character" w:styleId="Strong">
    <w:name w:val="Strong"/>
    <w:basedOn w:val="DefaultParagraphFont"/>
    <w:rsid w:val="00A52DCB"/>
    <w:rPr>
      <w:rFonts w:ascii="Arial" w:hAnsi="Arial"/>
      <w:b/>
      <w:bCs/>
      <w:sz w:val="20"/>
    </w:rPr>
  </w:style>
  <w:style w:type="paragraph" w:customStyle="1" w:styleId="FormBodyHeading">
    <w:name w:val="Form_Body Heading"/>
    <w:basedOn w:val="Normal"/>
    <w:rsid w:val="00A52DCB"/>
    <w:pPr>
      <w:tabs>
        <w:tab w:val="left" w:pos="567"/>
        <w:tab w:val="right" w:pos="9072"/>
      </w:tabs>
      <w:spacing w:before="180" w:line="360" w:lineRule="auto"/>
      <w:jc w:val="left"/>
    </w:pPr>
    <w:rPr>
      <w:rFonts w:ascii="Helvetica" w:eastAsia="Times New Roman" w:hAnsi="Helvetica"/>
      <w:b/>
      <w:caps/>
      <w:color w:val="000000"/>
      <w:lang w:val="en-AU" w:eastAsia="en-AU"/>
    </w:rPr>
  </w:style>
  <w:style w:type="paragraph" w:customStyle="1" w:styleId="FormPartyType">
    <w:name w:val="Form_Party_Type"/>
    <w:basedOn w:val="Normal"/>
    <w:rsid w:val="00A52DCB"/>
    <w:pPr>
      <w:suppressAutoHyphens/>
      <w:jc w:val="right"/>
    </w:pPr>
    <w:rPr>
      <w:rFonts w:eastAsia="Times New Roman" w:cs="Arial"/>
      <w:color w:val="000000"/>
      <w:lang w:val="en-AU"/>
    </w:rPr>
  </w:style>
  <w:style w:type="character" w:styleId="EndnoteReference">
    <w:name w:val="endnote reference"/>
    <w:basedOn w:val="DefaultParagraphFont"/>
    <w:semiHidden/>
    <w:rsid w:val="00A52DCB"/>
    <w:rPr>
      <w:vertAlign w:val="superscript"/>
    </w:rPr>
  </w:style>
  <w:style w:type="paragraph" w:styleId="EndnoteText">
    <w:name w:val="endnote text"/>
    <w:basedOn w:val="Normal"/>
    <w:link w:val="EndnoteTextChar"/>
    <w:rsid w:val="00A52DCB"/>
    <w:pPr>
      <w:jc w:val="left"/>
    </w:pPr>
    <w:rPr>
      <w:rFonts w:eastAsia="Times New Roman"/>
      <w:color w:val="000000"/>
      <w:sz w:val="16"/>
      <w:lang w:val="en-AU"/>
    </w:rPr>
  </w:style>
  <w:style w:type="character" w:customStyle="1" w:styleId="EndnoteTextChar">
    <w:name w:val="Endnote Text Char"/>
    <w:basedOn w:val="DefaultParagraphFont"/>
    <w:link w:val="EndnoteText"/>
    <w:rsid w:val="00A52DCB"/>
    <w:rPr>
      <w:rFonts w:ascii="Arial" w:hAnsi="Arial"/>
      <w:color w:val="000000"/>
      <w:sz w:val="16"/>
      <w:lang w:val="en-AU" w:eastAsia="en-US"/>
    </w:rPr>
  </w:style>
  <w:style w:type="paragraph" w:styleId="Index1">
    <w:name w:val="index 1"/>
    <w:basedOn w:val="Normal"/>
    <w:next w:val="Normal"/>
    <w:autoRedefine/>
    <w:semiHidden/>
    <w:rsid w:val="00A52DCB"/>
    <w:pPr>
      <w:ind w:left="200" w:hanging="200"/>
      <w:jc w:val="left"/>
    </w:pPr>
    <w:rPr>
      <w:rFonts w:eastAsia="Times New Roman"/>
      <w:color w:val="000000"/>
      <w:lang w:val="en-AU"/>
    </w:rPr>
  </w:style>
  <w:style w:type="paragraph" w:styleId="Index2">
    <w:name w:val="index 2"/>
    <w:basedOn w:val="Normal"/>
    <w:next w:val="Normal"/>
    <w:autoRedefine/>
    <w:semiHidden/>
    <w:rsid w:val="00A52DCB"/>
    <w:pPr>
      <w:ind w:left="400" w:hanging="200"/>
      <w:jc w:val="left"/>
    </w:pPr>
    <w:rPr>
      <w:rFonts w:eastAsia="Times New Roman"/>
      <w:color w:val="000000"/>
      <w:lang w:val="en-AU"/>
    </w:rPr>
  </w:style>
  <w:style w:type="paragraph" w:styleId="Index3">
    <w:name w:val="index 3"/>
    <w:basedOn w:val="Normal"/>
    <w:next w:val="Normal"/>
    <w:autoRedefine/>
    <w:semiHidden/>
    <w:rsid w:val="00A52DCB"/>
    <w:pPr>
      <w:ind w:left="600" w:hanging="200"/>
      <w:jc w:val="left"/>
    </w:pPr>
    <w:rPr>
      <w:rFonts w:eastAsia="Times New Roman"/>
      <w:color w:val="000000"/>
      <w:lang w:val="en-AU"/>
    </w:rPr>
  </w:style>
  <w:style w:type="paragraph" w:styleId="Index4">
    <w:name w:val="index 4"/>
    <w:basedOn w:val="Normal"/>
    <w:next w:val="Normal"/>
    <w:autoRedefine/>
    <w:semiHidden/>
    <w:rsid w:val="00A52DCB"/>
    <w:pPr>
      <w:ind w:left="800" w:hanging="200"/>
      <w:jc w:val="left"/>
    </w:pPr>
    <w:rPr>
      <w:rFonts w:eastAsia="Times New Roman"/>
      <w:color w:val="000000"/>
      <w:lang w:val="en-AU"/>
    </w:rPr>
  </w:style>
  <w:style w:type="paragraph" w:styleId="Index5">
    <w:name w:val="index 5"/>
    <w:basedOn w:val="Normal"/>
    <w:next w:val="Normal"/>
    <w:autoRedefine/>
    <w:semiHidden/>
    <w:rsid w:val="00A52DCB"/>
    <w:pPr>
      <w:ind w:left="1000" w:hanging="200"/>
      <w:jc w:val="left"/>
    </w:pPr>
    <w:rPr>
      <w:rFonts w:eastAsia="Times New Roman"/>
      <w:color w:val="000000"/>
      <w:lang w:val="en-AU"/>
    </w:rPr>
  </w:style>
  <w:style w:type="paragraph" w:styleId="Index6">
    <w:name w:val="index 6"/>
    <w:basedOn w:val="Normal"/>
    <w:next w:val="Normal"/>
    <w:autoRedefine/>
    <w:semiHidden/>
    <w:rsid w:val="00A52DCB"/>
    <w:pPr>
      <w:ind w:left="1200" w:hanging="200"/>
      <w:jc w:val="left"/>
    </w:pPr>
    <w:rPr>
      <w:rFonts w:eastAsia="Times New Roman"/>
      <w:color w:val="000000"/>
      <w:lang w:val="en-AU"/>
    </w:rPr>
  </w:style>
  <w:style w:type="paragraph" w:styleId="Index7">
    <w:name w:val="index 7"/>
    <w:basedOn w:val="Normal"/>
    <w:next w:val="Normal"/>
    <w:autoRedefine/>
    <w:semiHidden/>
    <w:rsid w:val="00A52DCB"/>
    <w:pPr>
      <w:ind w:left="1400" w:hanging="200"/>
      <w:jc w:val="left"/>
    </w:pPr>
    <w:rPr>
      <w:rFonts w:eastAsia="Times New Roman"/>
      <w:color w:val="000000"/>
      <w:lang w:val="en-AU"/>
    </w:rPr>
  </w:style>
  <w:style w:type="paragraph" w:styleId="Index8">
    <w:name w:val="index 8"/>
    <w:basedOn w:val="Normal"/>
    <w:next w:val="Normal"/>
    <w:autoRedefine/>
    <w:semiHidden/>
    <w:rsid w:val="00A52DCB"/>
    <w:pPr>
      <w:ind w:left="1600" w:hanging="200"/>
      <w:jc w:val="left"/>
    </w:pPr>
    <w:rPr>
      <w:rFonts w:eastAsia="Times New Roman"/>
      <w:color w:val="000000"/>
      <w:lang w:val="en-AU"/>
    </w:rPr>
  </w:style>
  <w:style w:type="paragraph" w:styleId="Index9">
    <w:name w:val="index 9"/>
    <w:basedOn w:val="Normal"/>
    <w:next w:val="Normal"/>
    <w:autoRedefine/>
    <w:semiHidden/>
    <w:rsid w:val="00A52DCB"/>
    <w:pPr>
      <w:ind w:left="1800" w:hanging="200"/>
      <w:jc w:val="left"/>
    </w:pPr>
    <w:rPr>
      <w:rFonts w:eastAsia="Times New Roman"/>
      <w:color w:val="000000"/>
      <w:lang w:val="en-AU"/>
    </w:rPr>
  </w:style>
  <w:style w:type="paragraph" w:styleId="IndexHeading">
    <w:name w:val="index heading"/>
    <w:basedOn w:val="Normal"/>
    <w:next w:val="Index1"/>
    <w:semiHidden/>
    <w:rsid w:val="00A52DCB"/>
    <w:pPr>
      <w:jc w:val="left"/>
    </w:pPr>
    <w:rPr>
      <w:rFonts w:eastAsia="Times New Roman" w:cs="Arial"/>
      <w:b/>
      <w:bCs/>
      <w:color w:val="000000"/>
      <w:lang w:val="en-AU"/>
    </w:rPr>
  </w:style>
  <w:style w:type="paragraph" w:styleId="MacroText">
    <w:name w:val="macro"/>
    <w:link w:val="MacroTextChar"/>
    <w:semiHidden/>
    <w:rsid w:val="00A52D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AU" w:eastAsia="en-US"/>
    </w:rPr>
  </w:style>
  <w:style w:type="character" w:customStyle="1" w:styleId="MacroTextChar">
    <w:name w:val="Macro Text Char"/>
    <w:basedOn w:val="DefaultParagraphFont"/>
    <w:link w:val="MacroText"/>
    <w:semiHidden/>
    <w:rsid w:val="00A52DCB"/>
    <w:rPr>
      <w:rFonts w:ascii="Courier New" w:hAnsi="Courier New" w:cs="Courier New"/>
      <w:color w:val="333333"/>
      <w:lang w:val="en-AU" w:eastAsia="en-US"/>
    </w:rPr>
  </w:style>
  <w:style w:type="paragraph" w:styleId="TableofAuthorities">
    <w:name w:val="table of authorities"/>
    <w:basedOn w:val="Normal"/>
    <w:next w:val="Normal"/>
    <w:semiHidden/>
    <w:rsid w:val="00A52DCB"/>
    <w:pPr>
      <w:ind w:left="200" w:hanging="200"/>
      <w:jc w:val="left"/>
    </w:pPr>
    <w:rPr>
      <w:rFonts w:eastAsia="Times New Roman"/>
      <w:color w:val="000000"/>
      <w:lang w:val="en-AU"/>
    </w:rPr>
  </w:style>
  <w:style w:type="paragraph" w:styleId="TOAHeading">
    <w:name w:val="toa heading"/>
    <w:basedOn w:val="Normal"/>
    <w:next w:val="Normal"/>
    <w:semiHidden/>
    <w:rsid w:val="00A52DCB"/>
    <w:pPr>
      <w:spacing w:before="120"/>
      <w:jc w:val="left"/>
    </w:pPr>
    <w:rPr>
      <w:rFonts w:eastAsia="Times New Roman" w:cs="Arial"/>
      <w:b/>
      <w:bCs/>
      <w:color w:val="000000"/>
      <w:sz w:val="24"/>
      <w:szCs w:val="24"/>
      <w:lang w:val="en-AU"/>
    </w:rPr>
  </w:style>
  <w:style w:type="paragraph" w:customStyle="1" w:styleId="Heading1NoNumber">
    <w:name w:val="Heading 1 No Number"/>
    <w:basedOn w:val="Normal"/>
    <w:next w:val="Normal"/>
    <w:rsid w:val="00A52DCB"/>
    <w:pPr>
      <w:pBdr>
        <w:top w:val="single" w:sz="4" w:space="6" w:color="auto"/>
      </w:pBdr>
      <w:spacing w:after="240"/>
      <w:ind w:firstLine="567"/>
      <w:jc w:val="left"/>
    </w:pPr>
    <w:rPr>
      <w:rFonts w:eastAsia="Times New Roman"/>
      <w:b/>
      <w:color w:val="195988"/>
      <w:sz w:val="28"/>
      <w:szCs w:val="28"/>
      <w:lang w:val="en-AU"/>
    </w:rPr>
  </w:style>
  <w:style w:type="paragraph" w:customStyle="1" w:styleId="DeedAttachment">
    <w:name w:val="Deed_Attachment"/>
    <w:basedOn w:val="Normal"/>
    <w:next w:val="BodyText"/>
    <w:rsid w:val="00A52DCB"/>
    <w:pPr>
      <w:numPr>
        <w:numId w:val="20"/>
      </w:numPr>
      <w:spacing w:line="260" w:lineRule="atLeast"/>
      <w:jc w:val="left"/>
    </w:pPr>
    <w:rPr>
      <w:rFonts w:eastAsia="Times New Roman"/>
      <w:b/>
      <w:bCs/>
      <w:color w:val="195988"/>
      <w:sz w:val="28"/>
      <w:szCs w:val="28"/>
      <w:lang w:val="en-AU"/>
    </w:rPr>
  </w:style>
  <w:style w:type="paragraph" w:customStyle="1" w:styleId="Subheading">
    <w:name w:val="Subheading"/>
    <w:basedOn w:val="Heading2"/>
    <w:next w:val="BodyText"/>
    <w:rsid w:val="00A52DCB"/>
    <w:pPr>
      <w:numPr>
        <w:ilvl w:val="0"/>
        <w:numId w:val="0"/>
      </w:numPr>
      <w:spacing w:before="0" w:after="240" w:line="240" w:lineRule="atLeast"/>
      <w:ind w:left="567"/>
      <w:jc w:val="left"/>
    </w:pPr>
    <w:rPr>
      <w:rFonts w:ascii="Arial Bold" w:hAnsi="Arial Bold"/>
      <w:color w:val="000000"/>
      <w:sz w:val="20"/>
      <w:szCs w:val="20"/>
    </w:rPr>
  </w:style>
  <w:style w:type="paragraph" w:customStyle="1" w:styleId="Heading">
    <w:name w:val="Heading"/>
    <w:basedOn w:val="Heading1"/>
    <w:next w:val="BodyText"/>
    <w:rsid w:val="00A52DCB"/>
    <w:pPr>
      <w:numPr>
        <w:numId w:val="0"/>
      </w:numPr>
      <w:pBdr>
        <w:top w:val="single" w:sz="4" w:space="6" w:color="auto"/>
      </w:pBdr>
      <w:spacing w:before="0" w:after="240" w:line="240" w:lineRule="atLeast"/>
      <w:jc w:val="left"/>
    </w:pPr>
    <w:rPr>
      <w:rFonts w:ascii="Arial Bold" w:hAnsi="Arial Bold"/>
      <w:color w:val="195988"/>
      <w:kern w:val="28"/>
      <w:lang w:val="en-AU" w:eastAsia="en-US"/>
    </w:rPr>
  </w:style>
  <w:style w:type="paragraph" w:styleId="Subtitle">
    <w:name w:val="Subtitle"/>
    <w:basedOn w:val="Normal"/>
    <w:link w:val="SubtitleChar"/>
    <w:rsid w:val="00A52DCB"/>
    <w:pPr>
      <w:spacing w:after="60"/>
      <w:jc w:val="center"/>
      <w:outlineLvl w:val="1"/>
    </w:pPr>
    <w:rPr>
      <w:rFonts w:eastAsia="Times New Roman" w:cs="Arial"/>
      <w:color w:val="000000"/>
      <w:sz w:val="24"/>
      <w:szCs w:val="24"/>
      <w:lang w:val="en-AU"/>
    </w:rPr>
  </w:style>
  <w:style w:type="character" w:customStyle="1" w:styleId="SubtitleChar">
    <w:name w:val="Subtitle Char"/>
    <w:basedOn w:val="DefaultParagraphFont"/>
    <w:link w:val="Subtitle"/>
    <w:rsid w:val="00A52DCB"/>
    <w:rPr>
      <w:rFonts w:ascii="Arial" w:hAnsi="Arial" w:cs="Arial"/>
      <w:color w:val="000000"/>
      <w:sz w:val="24"/>
      <w:szCs w:val="24"/>
      <w:lang w:val="en-AU" w:eastAsia="en-US"/>
    </w:rPr>
  </w:style>
  <w:style w:type="paragraph" w:customStyle="1" w:styleId="Sch4">
    <w:name w:val="Sch 4"/>
    <w:basedOn w:val="Heading4"/>
    <w:rsid w:val="00A52DCB"/>
    <w:pPr>
      <w:numPr>
        <w:numId w:val="0"/>
      </w:numPr>
      <w:tabs>
        <w:tab w:val="num" w:pos="567"/>
      </w:tabs>
      <w:spacing w:after="240"/>
      <w:ind w:left="567" w:hanging="567"/>
      <w:jc w:val="left"/>
    </w:pPr>
    <w:rPr>
      <w:color w:val="000000"/>
      <w:lang w:val="en-AU"/>
    </w:rPr>
  </w:style>
  <w:style w:type="paragraph" w:customStyle="1" w:styleId="Sch5">
    <w:name w:val="Sch 5"/>
    <w:basedOn w:val="Heading5"/>
    <w:rsid w:val="00A52DCB"/>
    <w:pPr>
      <w:numPr>
        <w:numId w:val="22"/>
      </w:numPr>
      <w:spacing w:before="0" w:after="240"/>
      <w:jc w:val="left"/>
    </w:pPr>
    <w:rPr>
      <w:rFonts w:ascii="Arial" w:eastAsia="Times New Roman" w:hAnsi="Arial"/>
      <w:color w:val="000000"/>
      <w:lang w:val="en-AU"/>
    </w:rPr>
  </w:style>
  <w:style w:type="numbering" w:styleId="1ai">
    <w:name w:val="Outline List 1"/>
    <w:basedOn w:val="NoList"/>
    <w:semiHidden/>
    <w:rsid w:val="00A52DCB"/>
    <w:pPr>
      <w:numPr>
        <w:numId w:val="21"/>
      </w:numPr>
    </w:pPr>
  </w:style>
  <w:style w:type="numbering" w:styleId="ArticleSection">
    <w:name w:val="Outline List 3"/>
    <w:basedOn w:val="NoList"/>
    <w:semiHidden/>
    <w:rsid w:val="00A52DCB"/>
    <w:pPr>
      <w:numPr>
        <w:numId w:val="19"/>
      </w:numPr>
    </w:pPr>
  </w:style>
  <w:style w:type="character" w:styleId="Emphasis">
    <w:name w:val="Emphasis"/>
    <w:basedOn w:val="DefaultParagraphFont"/>
    <w:rsid w:val="00A52DCB"/>
    <w:rPr>
      <w:i/>
      <w:iCs/>
    </w:rPr>
  </w:style>
  <w:style w:type="paragraph" w:customStyle="1" w:styleId="NoteHeading1">
    <w:name w:val="Note Heading1"/>
    <w:basedOn w:val="Normal"/>
    <w:next w:val="Normal"/>
    <w:semiHidden/>
    <w:rsid w:val="00A52DCB"/>
    <w:pPr>
      <w:jc w:val="left"/>
    </w:pPr>
    <w:rPr>
      <w:rFonts w:eastAsia="Times New Roman"/>
      <w:color w:val="000000"/>
      <w:lang w:val="en-AU"/>
    </w:rPr>
  </w:style>
  <w:style w:type="paragraph" w:customStyle="1" w:styleId="Heading2NoNumber">
    <w:name w:val="Heading 2 No Number"/>
    <w:basedOn w:val="Heading2"/>
    <w:rsid w:val="00A52DCB"/>
    <w:pPr>
      <w:numPr>
        <w:ilvl w:val="0"/>
        <w:numId w:val="0"/>
      </w:numPr>
      <w:spacing w:before="0" w:after="240"/>
      <w:ind w:left="1134"/>
      <w:jc w:val="left"/>
    </w:pPr>
    <w:rPr>
      <w:rFonts w:ascii="Arial" w:hAnsi="Arial"/>
      <w:color w:val="000000"/>
      <w:sz w:val="20"/>
      <w:szCs w:val="20"/>
    </w:rPr>
  </w:style>
  <w:style w:type="table" w:styleId="Table3Deffects1">
    <w:name w:val="Table 3D effects 1"/>
    <w:basedOn w:val="TableNormal"/>
    <w:semiHidden/>
    <w:rsid w:val="00A52DCB"/>
    <w:rPr>
      <w:lang w:val="en-AU" w:eastAsia="en-AU"/>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semiHidden/>
    <w:rsid w:val="00A52DCB"/>
    <w:rPr>
      <w:lang w:val="en-AU" w:eastAsia="en-AU"/>
    </w:r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semiHidden/>
    <w:rsid w:val="00A52DCB"/>
    <w:rPr>
      <w:lang w:val="en-AU" w:eastAsia="en-AU"/>
    </w:r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semiHidden/>
    <w:rsid w:val="00A52DCB"/>
    <w:rPr>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semiHidden/>
    <w:rsid w:val="00A52DCB"/>
    <w:rPr>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semiHidden/>
    <w:rsid w:val="00A52DCB"/>
    <w:rPr>
      <w:color w:val="00008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semiHidden/>
    <w:rsid w:val="00A52DCB"/>
    <w:rPr>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semiHidden/>
    <w:rsid w:val="00A52DCB"/>
    <w:rPr>
      <w:color w:val="FFFFFF"/>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semiHidden/>
    <w:rsid w:val="00A52DCB"/>
    <w:rPr>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semiHidden/>
    <w:rsid w:val="00A52DCB"/>
    <w:rPr>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semiHidden/>
    <w:rsid w:val="00A52DCB"/>
    <w:rPr>
      <w:b/>
      <w:bCs/>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semiHidden/>
    <w:rsid w:val="00A52DCB"/>
    <w:rPr>
      <w:b/>
      <w:bCs/>
      <w:lang w:val="en-AU" w:eastAsia="en-AU"/>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semiHidden/>
    <w:rsid w:val="00A52DCB"/>
    <w:rPr>
      <w:b/>
      <w:bCs/>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semiHidden/>
    <w:rsid w:val="00A52DCB"/>
    <w:rPr>
      <w:lang w:val="en-AU" w:eastAsia="en-AU"/>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52DCB"/>
    <w:rPr>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52DCB"/>
    <w:rPr>
      <w:lang w:val="en-AU" w:eastAsia="en-AU"/>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semiHidden/>
    <w:rsid w:val="00A52DCB"/>
    <w:rPr>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semiHidden/>
    <w:rsid w:val="00A52DCB"/>
    <w:rPr>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semiHidden/>
    <w:rsid w:val="00A52DCB"/>
    <w:rPr>
      <w:lang w:val="en-AU" w:eastAsia="en-AU"/>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4">
    <w:name w:val="Table Grid 4"/>
    <w:basedOn w:val="TableNormal"/>
    <w:semiHidden/>
    <w:rsid w:val="00A52DCB"/>
    <w:rPr>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semiHidden/>
    <w:rsid w:val="00A52DCB"/>
    <w:rPr>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semiHidden/>
    <w:rsid w:val="00A52DCB"/>
    <w:rPr>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semiHidden/>
    <w:rsid w:val="00A52DCB"/>
    <w:rPr>
      <w:b/>
      <w:bC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semiHidden/>
    <w:rsid w:val="00A52DCB"/>
    <w:rPr>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semiHidden/>
    <w:rsid w:val="00A52DCB"/>
    <w:rPr>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semiHidden/>
    <w:rsid w:val="00A52DCB"/>
    <w:rPr>
      <w:lang w:val="en-AU" w:eastAsia="en-AU"/>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semiHidden/>
    <w:rsid w:val="00A52DCB"/>
    <w:rPr>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semiHidden/>
    <w:rsid w:val="00A52DCB"/>
    <w:rPr>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semiHidden/>
    <w:rsid w:val="00A52DCB"/>
    <w:rPr>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semiHidden/>
    <w:rsid w:val="00A52DCB"/>
    <w:rPr>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semiHidden/>
    <w:rsid w:val="00A52DCB"/>
    <w:rPr>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semiHidden/>
    <w:rsid w:val="00A52DCB"/>
    <w:rPr>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semiHidden/>
    <w:rsid w:val="00A52DCB"/>
    <w:rPr>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semiHidden/>
    <w:rsid w:val="00A52DCB"/>
    <w:rPr>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semiHidden/>
    <w:rsid w:val="00A52DCB"/>
    <w:rPr>
      <w:lang w:val="en-AU" w:eastAsia="en-AU"/>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semiHidden/>
    <w:rsid w:val="00A52DCB"/>
    <w:rPr>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semiHidden/>
    <w:rsid w:val="00A52DCB"/>
    <w:rPr>
      <w:lang w:val="en-AU" w:eastAsia="en-AU"/>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semiHidden/>
    <w:rsid w:val="00A52DCB"/>
    <w:rPr>
      <w:lang w:val="en-AU" w:eastAsia="en-AU"/>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semiHidden/>
    <w:rsid w:val="00A52DCB"/>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52DCB"/>
    <w:rPr>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semiHidden/>
    <w:rsid w:val="00A52DCB"/>
    <w:rPr>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semiHidden/>
    <w:rsid w:val="00A52DCB"/>
    <w:rPr>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character" w:customStyle="1" w:styleId="GT">
    <w:name w:val="G+T"/>
    <w:basedOn w:val="DefaultParagraphFont"/>
    <w:rsid w:val="00A52DCB"/>
    <w:rPr>
      <w:rFonts w:ascii="Arial" w:hAnsi="Arial" w:cs="Arial"/>
      <w:color w:val="004473"/>
      <w:sz w:val="18"/>
      <w:szCs w:val="18"/>
    </w:rPr>
  </w:style>
  <w:style w:type="paragraph" w:customStyle="1" w:styleId="DeedTOC">
    <w:name w:val="Deed_TOC"/>
    <w:basedOn w:val="Normal"/>
    <w:rsid w:val="00A52DCB"/>
    <w:pPr>
      <w:pBdr>
        <w:top w:val="single" w:sz="4" w:space="6" w:color="000000"/>
      </w:pBdr>
      <w:tabs>
        <w:tab w:val="left" w:pos="1134"/>
        <w:tab w:val="right" w:pos="7655"/>
      </w:tabs>
      <w:spacing w:after="240" w:line="260" w:lineRule="atLeast"/>
      <w:ind w:firstLine="1134"/>
      <w:jc w:val="left"/>
    </w:pPr>
    <w:rPr>
      <w:rFonts w:eastAsia="Times New Roman"/>
      <w:b/>
      <w:bCs/>
      <w:color w:val="195988"/>
      <w:sz w:val="28"/>
      <w:szCs w:val="28"/>
      <w:lang w:val="en-AU"/>
    </w:rPr>
  </w:style>
  <w:style w:type="table" w:customStyle="1" w:styleId="GTTable">
    <w:name w:val="G+T Table"/>
    <w:basedOn w:val="TableGrid"/>
    <w:rsid w:val="00A52DCB"/>
    <w:pPr>
      <w:spacing w:before="60" w:after="60"/>
    </w:pPr>
    <w:rPr>
      <w:rFonts w:ascii="Arial" w:hAnsi="Arial"/>
      <w:lang w:val="en-AU" w:eastAsia="en-AU"/>
    </w:rPr>
    <w:tblPr>
      <w:tblStyleRowBandSize w:val="1"/>
      <w:tblInd w:w="1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rFonts w:ascii="Arial" w:hAnsi="Arial"/>
        <w:b/>
        <w:sz w:val="20"/>
      </w:rPr>
      <w:tblPr/>
      <w:trPr>
        <w:cantSplit/>
        <w:tblHeader/>
      </w:trPr>
      <w:tcPr>
        <w:tcBorders>
          <w:top w:val="single" w:sz="8" w:space="0" w:color="auto"/>
          <w:left w:val="single" w:sz="8" w:space="0" w:color="auto"/>
          <w:bottom w:val="single" w:sz="8" w:space="0" w:color="auto"/>
          <w:right w:val="single" w:sz="8" w:space="0" w:color="auto"/>
          <w:insideH w:val="single" w:sz="6" w:space="0" w:color="auto"/>
          <w:insideV w:val="single" w:sz="6" w:space="0" w:color="auto"/>
          <w:tl2br w:val="nil"/>
          <w:tr2bl w:val="nil"/>
        </w:tcBorders>
        <w:shd w:val="clear" w:color="auto" w:fill="8FA9C8"/>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customStyle="1" w:styleId="BodyTextNoIndent">
    <w:name w:val="Body Text No Indent"/>
    <w:basedOn w:val="BodyText"/>
    <w:rsid w:val="00A52DCB"/>
    <w:pPr>
      <w:spacing w:before="0" w:after="240"/>
      <w:ind w:left="0"/>
      <w:jc w:val="left"/>
    </w:pPr>
    <w:rPr>
      <w:rFonts w:ascii="Arial" w:eastAsia="Times New Roman" w:hAnsi="Arial"/>
      <w:color w:val="000000"/>
      <w:lang w:val="en-AU"/>
    </w:rPr>
  </w:style>
  <w:style w:type="paragraph" w:customStyle="1" w:styleId="FormPartyDetails">
    <w:name w:val="Form_Party_Details"/>
    <w:basedOn w:val="Normal"/>
    <w:rsid w:val="00A52DCB"/>
    <w:pPr>
      <w:spacing w:line="360" w:lineRule="auto"/>
      <w:ind w:left="4820"/>
      <w:jc w:val="left"/>
    </w:pPr>
    <w:rPr>
      <w:rFonts w:eastAsia="Times New Roman" w:cs="Arial"/>
      <w:b/>
      <w:bCs/>
      <w:color w:val="000000"/>
      <w:szCs w:val="19"/>
      <w:lang w:val="en-AU"/>
    </w:rPr>
  </w:style>
  <w:style w:type="paragraph" w:customStyle="1" w:styleId="AddressFooter">
    <w:name w:val="Address_Footer"/>
    <w:basedOn w:val="Header"/>
    <w:rsid w:val="00A52DCB"/>
    <w:pPr>
      <w:tabs>
        <w:tab w:val="clear" w:pos="4320"/>
        <w:tab w:val="clear" w:pos="8640"/>
      </w:tabs>
      <w:spacing w:line="160" w:lineRule="atLeast"/>
      <w:jc w:val="left"/>
    </w:pPr>
    <w:rPr>
      <w:rFonts w:eastAsia="Times New Roman"/>
      <w:color w:val="000000"/>
      <w:sz w:val="14"/>
      <w:lang w:val="en-AU"/>
    </w:rPr>
  </w:style>
  <w:style w:type="paragraph" w:customStyle="1" w:styleId="ListNumber6">
    <w:name w:val="List Number 6"/>
    <w:basedOn w:val="Normal"/>
    <w:semiHidden/>
    <w:rsid w:val="00A52DCB"/>
    <w:pPr>
      <w:tabs>
        <w:tab w:val="num" w:pos="360"/>
      </w:tabs>
      <w:spacing w:before="180" w:after="120" w:line="360" w:lineRule="auto"/>
      <w:jc w:val="left"/>
    </w:pPr>
    <w:rPr>
      <w:rFonts w:eastAsia="Times New Roman"/>
      <w:color w:val="000000"/>
      <w:sz w:val="22"/>
      <w:szCs w:val="22"/>
      <w:lang w:val="en-AU"/>
    </w:rPr>
  </w:style>
  <w:style w:type="paragraph" w:customStyle="1" w:styleId="ListNumber7">
    <w:name w:val="List Number 7"/>
    <w:basedOn w:val="Normal"/>
    <w:semiHidden/>
    <w:rsid w:val="00A52DCB"/>
    <w:pPr>
      <w:tabs>
        <w:tab w:val="num" w:pos="360"/>
      </w:tabs>
      <w:spacing w:before="180" w:after="120" w:line="360" w:lineRule="auto"/>
      <w:jc w:val="left"/>
    </w:pPr>
    <w:rPr>
      <w:rFonts w:eastAsia="Times New Roman"/>
      <w:color w:val="000000"/>
      <w:sz w:val="22"/>
      <w:szCs w:val="22"/>
      <w:lang w:val="en-AU"/>
    </w:rPr>
  </w:style>
  <w:style w:type="paragraph" w:customStyle="1" w:styleId="ListNumber8">
    <w:name w:val="List Number 8"/>
    <w:basedOn w:val="Normal"/>
    <w:semiHidden/>
    <w:rsid w:val="00A52DCB"/>
    <w:pPr>
      <w:tabs>
        <w:tab w:val="num" w:pos="360"/>
      </w:tabs>
      <w:spacing w:before="180" w:after="120" w:line="360" w:lineRule="auto"/>
      <w:jc w:val="left"/>
    </w:pPr>
    <w:rPr>
      <w:rFonts w:eastAsia="Times New Roman"/>
      <w:color w:val="000000"/>
      <w:sz w:val="22"/>
      <w:szCs w:val="22"/>
      <w:lang w:val="en-AU"/>
    </w:rPr>
  </w:style>
  <w:style w:type="paragraph" w:customStyle="1" w:styleId="ListNumber9">
    <w:name w:val="List Number 9"/>
    <w:basedOn w:val="Normal"/>
    <w:semiHidden/>
    <w:rsid w:val="00A52DCB"/>
    <w:pPr>
      <w:tabs>
        <w:tab w:val="num" w:pos="360"/>
      </w:tabs>
      <w:spacing w:before="180" w:after="120" w:line="360" w:lineRule="auto"/>
      <w:jc w:val="left"/>
    </w:pPr>
    <w:rPr>
      <w:rFonts w:eastAsia="Times New Roman"/>
      <w:color w:val="000000"/>
      <w:sz w:val="22"/>
      <w:szCs w:val="22"/>
      <w:lang w:val="en-AU"/>
    </w:rPr>
  </w:style>
  <w:style w:type="table" w:customStyle="1" w:styleId="GTTable1">
    <w:name w:val="G+T Table1"/>
    <w:basedOn w:val="TableGrid"/>
    <w:rsid w:val="00A52DCB"/>
    <w:pPr>
      <w:spacing w:before="60" w:after="60" w:line="240" w:lineRule="atLeast"/>
    </w:pPr>
    <w:rPr>
      <w:lang w:val="en-AU" w:eastAsia="en-AU"/>
    </w:rPr>
    <w:tblPr>
      <w:tblStyleRowBandSize w:val="1"/>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keepLines w:val="0"/>
        <w:pageBreakBefore w:val="0"/>
        <w:widowControl/>
        <w:suppressLineNumbers w:val="0"/>
        <w:suppressAutoHyphens w:val="0"/>
        <w:wordWrap/>
      </w:pPr>
      <w:rPr>
        <w:rFonts w:ascii="Arial" w:hAnsi="Arial"/>
        <w:b/>
        <w:sz w:val="20"/>
      </w:rPr>
      <w:tblPr/>
      <w:trPr>
        <w:cantSplit/>
        <w:tblHeader/>
      </w:trPr>
      <w:tcPr>
        <w:tcBorders>
          <w:top w:val="single" w:sz="8" w:space="0" w:color="auto"/>
          <w:left w:val="single" w:sz="8" w:space="0" w:color="auto"/>
          <w:bottom w:val="single" w:sz="8" w:space="0" w:color="auto"/>
          <w:right w:val="single" w:sz="8" w:space="0" w:color="auto"/>
          <w:insideH w:val="single" w:sz="6" w:space="0" w:color="auto"/>
          <w:insideV w:val="single" w:sz="6" w:space="0" w:color="auto"/>
          <w:tl2br w:val="nil"/>
          <w:tr2bl w:val="nil"/>
        </w:tcBorders>
        <w:shd w:val="clear" w:color="auto" w:fill="8FA9C8"/>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customStyle="1" w:styleId="Smallquote">
    <w:name w:val="Small_quote"/>
    <w:basedOn w:val="Normal"/>
    <w:link w:val="SmallquoteChar"/>
    <w:qFormat/>
    <w:rsid w:val="0081197C"/>
    <w:pPr>
      <w:shd w:val="clear" w:color="auto" w:fill="FFFFFF"/>
      <w:spacing w:after="75"/>
      <w:ind w:left="1440" w:right="147"/>
      <w:jc w:val="left"/>
    </w:pPr>
    <w:rPr>
      <w:rFonts w:asciiTheme="minorHAnsi" w:hAnsiTheme="minorHAnsi"/>
      <w:iCs/>
      <w:color w:val="000000"/>
      <w:sz w:val="18"/>
      <w:szCs w:val="18"/>
      <w:lang w:val="en-AU"/>
    </w:rPr>
  </w:style>
  <w:style w:type="paragraph" w:customStyle="1" w:styleId="ESsubheading">
    <w:name w:val="ES_subheading"/>
    <w:basedOn w:val="ESsubheading1"/>
    <w:link w:val="ESsubheadingChar"/>
    <w:qFormat/>
    <w:rsid w:val="00D94BB5"/>
  </w:style>
  <w:style w:type="character" w:customStyle="1" w:styleId="SmallquoteChar">
    <w:name w:val="Small_quote Char"/>
    <w:basedOn w:val="DefaultParagraphFont"/>
    <w:link w:val="Smallquote"/>
    <w:rsid w:val="0081197C"/>
    <w:rPr>
      <w:rFonts w:asciiTheme="minorHAnsi" w:eastAsia="Batang" w:hAnsiTheme="minorHAnsi"/>
      <w:iCs/>
      <w:color w:val="000000"/>
      <w:sz w:val="18"/>
      <w:szCs w:val="18"/>
      <w:shd w:val="clear" w:color="auto" w:fill="FFFFFF"/>
      <w:lang w:val="en-AU" w:eastAsia="en-US"/>
    </w:rPr>
  </w:style>
  <w:style w:type="paragraph" w:customStyle="1" w:styleId="ESsubheading1">
    <w:name w:val="ES_subheading1"/>
    <w:basedOn w:val="BodyText-NotIndented"/>
    <w:link w:val="ESsubheading1Char"/>
    <w:rsid w:val="00F032F5"/>
    <w:pPr>
      <w:spacing w:before="300" w:after="240"/>
    </w:pPr>
    <w:rPr>
      <w:b/>
      <w:sz w:val="24"/>
    </w:rPr>
  </w:style>
  <w:style w:type="character" w:customStyle="1" w:styleId="ESsubheadingChar">
    <w:name w:val="ES_subheading Char"/>
    <w:basedOn w:val="Heading1Char"/>
    <w:link w:val="ESsubheading"/>
    <w:rsid w:val="00D94BB5"/>
    <w:rPr>
      <w:rFonts w:asciiTheme="minorHAnsi" w:eastAsia="Batang" w:hAnsiTheme="minorHAnsi" w:cstheme="minorHAnsi"/>
      <w:b/>
      <w:color w:val="7F1399"/>
      <w:sz w:val="24"/>
      <w:szCs w:val="22"/>
      <w:lang w:eastAsia="en-US"/>
    </w:rPr>
  </w:style>
  <w:style w:type="character" w:customStyle="1" w:styleId="BodyText-NotIndentedChar">
    <w:name w:val="Body Text - Not Indented Char"/>
    <w:basedOn w:val="BodyTextChar"/>
    <w:link w:val="BodyText-NotIndented"/>
    <w:rsid w:val="00F032F5"/>
    <w:rPr>
      <w:rFonts w:asciiTheme="minorHAnsi" w:eastAsia="Batang" w:hAnsiTheme="minorHAnsi" w:cstheme="minorHAnsi"/>
      <w:sz w:val="22"/>
      <w:szCs w:val="22"/>
      <w:lang w:eastAsia="en-US"/>
    </w:rPr>
  </w:style>
  <w:style w:type="character" w:customStyle="1" w:styleId="ESsubheading1Char">
    <w:name w:val="ES_subheading1 Char"/>
    <w:basedOn w:val="BodyText-NotIndentedChar"/>
    <w:link w:val="ESsubheading1"/>
    <w:rsid w:val="00F032F5"/>
    <w:rPr>
      <w:rFonts w:asciiTheme="minorHAnsi" w:eastAsia="Batang" w:hAnsiTheme="minorHAnsi" w:cstheme="minorHAnsi"/>
      <w:b/>
      <w:sz w:val="24"/>
      <w:szCs w:val="22"/>
      <w:lang w:eastAsia="en-US"/>
    </w:rPr>
  </w:style>
  <w:style w:type="paragraph" w:customStyle="1" w:styleId="Subheading0">
    <w:name w:val="Sub heading"/>
    <w:basedOn w:val="Normal"/>
    <w:next w:val="Normal"/>
    <w:rsid w:val="00FD5964"/>
    <w:pPr>
      <w:keepNext/>
      <w:spacing w:before="240" w:line="260" w:lineRule="atLeast"/>
      <w:ind w:left="850"/>
      <w:jc w:val="left"/>
    </w:pPr>
    <w:rPr>
      <w:rFonts w:eastAsia="Times New Roman" w:cs="Arial"/>
      <w:b/>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625">
      <w:bodyDiv w:val="1"/>
      <w:marLeft w:val="0"/>
      <w:marRight w:val="0"/>
      <w:marTop w:val="0"/>
      <w:marBottom w:val="0"/>
      <w:divBdr>
        <w:top w:val="none" w:sz="0" w:space="0" w:color="auto"/>
        <w:left w:val="none" w:sz="0" w:space="0" w:color="auto"/>
        <w:bottom w:val="none" w:sz="0" w:space="0" w:color="auto"/>
        <w:right w:val="none" w:sz="0" w:space="0" w:color="auto"/>
      </w:divBdr>
    </w:div>
    <w:div w:id="185213212">
      <w:bodyDiv w:val="1"/>
      <w:marLeft w:val="0"/>
      <w:marRight w:val="0"/>
      <w:marTop w:val="0"/>
      <w:marBottom w:val="0"/>
      <w:divBdr>
        <w:top w:val="none" w:sz="0" w:space="0" w:color="auto"/>
        <w:left w:val="none" w:sz="0" w:space="0" w:color="auto"/>
        <w:bottom w:val="none" w:sz="0" w:space="0" w:color="auto"/>
        <w:right w:val="none" w:sz="0" w:space="0" w:color="auto"/>
      </w:divBdr>
    </w:div>
    <w:div w:id="217202715">
      <w:bodyDiv w:val="1"/>
      <w:marLeft w:val="0"/>
      <w:marRight w:val="0"/>
      <w:marTop w:val="0"/>
      <w:marBottom w:val="0"/>
      <w:divBdr>
        <w:top w:val="none" w:sz="0" w:space="0" w:color="auto"/>
        <w:left w:val="none" w:sz="0" w:space="0" w:color="auto"/>
        <w:bottom w:val="none" w:sz="0" w:space="0" w:color="auto"/>
        <w:right w:val="none" w:sz="0" w:space="0" w:color="auto"/>
      </w:divBdr>
    </w:div>
    <w:div w:id="420949019">
      <w:bodyDiv w:val="1"/>
      <w:marLeft w:val="0"/>
      <w:marRight w:val="0"/>
      <w:marTop w:val="0"/>
      <w:marBottom w:val="0"/>
      <w:divBdr>
        <w:top w:val="none" w:sz="0" w:space="0" w:color="auto"/>
        <w:left w:val="none" w:sz="0" w:space="0" w:color="auto"/>
        <w:bottom w:val="none" w:sz="0" w:space="0" w:color="auto"/>
        <w:right w:val="none" w:sz="0" w:space="0" w:color="auto"/>
      </w:divBdr>
    </w:div>
    <w:div w:id="518742609">
      <w:bodyDiv w:val="1"/>
      <w:marLeft w:val="0"/>
      <w:marRight w:val="0"/>
      <w:marTop w:val="0"/>
      <w:marBottom w:val="0"/>
      <w:divBdr>
        <w:top w:val="none" w:sz="0" w:space="0" w:color="auto"/>
        <w:left w:val="none" w:sz="0" w:space="0" w:color="auto"/>
        <w:bottom w:val="none" w:sz="0" w:space="0" w:color="auto"/>
        <w:right w:val="none" w:sz="0" w:space="0" w:color="auto"/>
      </w:divBdr>
    </w:div>
    <w:div w:id="935557125">
      <w:bodyDiv w:val="1"/>
      <w:marLeft w:val="0"/>
      <w:marRight w:val="0"/>
      <w:marTop w:val="0"/>
      <w:marBottom w:val="0"/>
      <w:divBdr>
        <w:top w:val="none" w:sz="0" w:space="0" w:color="auto"/>
        <w:left w:val="none" w:sz="0" w:space="0" w:color="auto"/>
        <w:bottom w:val="none" w:sz="0" w:space="0" w:color="auto"/>
        <w:right w:val="none" w:sz="0" w:space="0" w:color="auto"/>
      </w:divBdr>
    </w:div>
    <w:div w:id="1197961269">
      <w:bodyDiv w:val="1"/>
      <w:marLeft w:val="0"/>
      <w:marRight w:val="0"/>
      <w:marTop w:val="0"/>
      <w:marBottom w:val="0"/>
      <w:divBdr>
        <w:top w:val="none" w:sz="0" w:space="0" w:color="auto"/>
        <w:left w:val="none" w:sz="0" w:space="0" w:color="auto"/>
        <w:bottom w:val="none" w:sz="0" w:space="0" w:color="auto"/>
        <w:right w:val="none" w:sz="0" w:space="0" w:color="auto"/>
      </w:divBdr>
    </w:div>
    <w:div w:id="1269854370">
      <w:bodyDiv w:val="1"/>
      <w:marLeft w:val="0"/>
      <w:marRight w:val="0"/>
      <w:marTop w:val="0"/>
      <w:marBottom w:val="0"/>
      <w:divBdr>
        <w:top w:val="none" w:sz="0" w:space="0" w:color="auto"/>
        <w:left w:val="none" w:sz="0" w:space="0" w:color="auto"/>
        <w:bottom w:val="none" w:sz="0" w:space="0" w:color="auto"/>
        <w:right w:val="none" w:sz="0" w:space="0" w:color="auto"/>
      </w:divBdr>
    </w:div>
    <w:div w:id="1579317372">
      <w:bodyDiv w:val="1"/>
      <w:marLeft w:val="0"/>
      <w:marRight w:val="0"/>
      <w:marTop w:val="0"/>
      <w:marBottom w:val="0"/>
      <w:divBdr>
        <w:top w:val="none" w:sz="0" w:space="0" w:color="auto"/>
        <w:left w:val="none" w:sz="0" w:space="0" w:color="auto"/>
        <w:bottom w:val="none" w:sz="0" w:space="0" w:color="auto"/>
        <w:right w:val="none" w:sz="0" w:space="0" w:color="auto"/>
      </w:divBdr>
    </w:div>
    <w:div w:id="1762750264">
      <w:bodyDiv w:val="1"/>
      <w:marLeft w:val="0"/>
      <w:marRight w:val="0"/>
      <w:marTop w:val="0"/>
      <w:marBottom w:val="0"/>
      <w:divBdr>
        <w:top w:val="none" w:sz="0" w:space="0" w:color="auto"/>
        <w:left w:val="none" w:sz="0" w:space="0" w:color="auto"/>
        <w:bottom w:val="none" w:sz="0" w:space="0" w:color="auto"/>
        <w:right w:val="none" w:sz="0" w:space="0" w:color="auto"/>
      </w:divBdr>
    </w:div>
    <w:div w:id="1854110107">
      <w:bodyDiv w:val="1"/>
      <w:marLeft w:val="0"/>
      <w:marRight w:val="0"/>
      <w:marTop w:val="0"/>
      <w:marBottom w:val="0"/>
      <w:divBdr>
        <w:top w:val="none" w:sz="0" w:space="0" w:color="auto"/>
        <w:left w:val="none" w:sz="0" w:space="0" w:color="auto"/>
        <w:bottom w:val="none" w:sz="0" w:space="0" w:color="auto"/>
        <w:right w:val="none" w:sz="0" w:space="0" w:color="auto"/>
      </w:divBdr>
    </w:div>
    <w:div w:id="2024163707">
      <w:bodyDiv w:val="1"/>
      <w:marLeft w:val="0"/>
      <w:marRight w:val="0"/>
      <w:marTop w:val="0"/>
      <w:marBottom w:val="0"/>
      <w:divBdr>
        <w:top w:val="none" w:sz="0" w:space="0" w:color="auto"/>
        <w:left w:val="none" w:sz="0" w:space="0" w:color="auto"/>
        <w:bottom w:val="none" w:sz="0" w:space="0" w:color="auto"/>
        <w:right w:val="none" w:sz="0" w:space="0" w:color="auto"/>
      </w:divBdr>
    </w:div>
    <w:div w:id="205175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oag.govt.nz/2009/electricity-commission/part2.htm" TargetMode="External"/><Relationship Id="rId2" Type="http://schemas.openxmlformats.org/officeDocument/2006/relationships/hyperlink" Target="http://web.mit.edu/esd.126/www/MktsAuctions/EEI.pdf" TargetMode="External"/><Relationship Id="rId1" Type="http://schemas.openxmlformats.org/officeDocument/2006/relationships/hyperlink" Target="http://gasindustry.co.nz/about-us/news-and-events/news/gas-industry-co-19-september-2017-news-bulletin/" TargetMode="External"/><Relationship Id="rId4" Type="http://schemas.openxmlformats.org/officeDocument/2006/relationships/hyperlink" Target="http://www.aemc.gov.au/News-Center/What-s-New/Announcements/AEMC-fast-tracks-rule-change-request-to-improve-G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A042-7DEE-4578-96E6-F6B9A8A2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26</Pages>
  <Words>10297</Words>
  <Characters>55107</Characters>
  <Application>Microsoft Office Word</Application>
  <DocSecurity>0</DocSecurity>
  <Lines>459</Lines>
  <Paragraphs>130</Paragraphs>
  <ScaleCrop>false</ScaleCrop>
  <HeadingPairs>
    <vt:vector size="2" baseType="variant">
      <vt:variant>
        <vt:lpstr>Title</vt:lpstr>
      </vt:variant>
      <vt:variant>
        <vt:i4>1</vt:i4>
      </vt:variant>
    </vt:vector>
  </HeadingPairs>
  <TitlesOfParts>
    <vt:vector size="1" baseType="lpstr">
      <vt:lpstr>[Title]</vt:lpstr>
    </vt:vector>
  </TitlesOfParts>
  <Company>Madgwicks</Company>
  <LinksUpToDate>false</LinksUpToDate>
  <CharactersWithSpaces>65274</CharactersWithSpaces>
  <SharedDoc>false</SharedDoc>
  <HLinks>
    <vt:vector size="42" baseType="variant">
      <vt:variant>
        <vt:i4>1835056</vt:i4>
      </vt:variant>
      <vt:variant>
        <vt:i4>38</vt:i4>
      </vt:variant>
      <vt:variant>
        <vt:i4>0</vt:i4>
      </vt:variant>
      <vt:variant>
        <vt:i4>5</vt:i4>
      </vt:variant>
      <vt:variant>
        <vt:lpwstr/>
      </vt:variant>
      <vt:variant>
        <vt:lpwstr>_Toc252880861</vt:lpwstr>
      </vt:variant>
      <vt:variant>
        <vt:i4>1835056</vt:i4>
      </vt:variant>
      <vt:variant>
        <vt:i4>32</vt:i4>
      </vt:variant>
      <vt:variant>
        <vt:i4>0</vt:i4>
      </vt:variant>
      <vt:variant>
        <vt:i4>5</vt:i4>
      </vt:variant>
      <vt:variant>
        <vt:lpwstr/>
      </vt:variant>
      <vt:variant>
        <vt:lpwstr>_Toc252880860</vt:lpwstr>
      </vt:variant>
      <vt:variant>
        <vt:i4>2031664</vt:i4>
      </vt:variant>
      <vt:variant>
        <vt:i4>26</vt:i4>
      </vt:variant>
      <vt:variant>
        <vt:i4>0</vt:i4>
      </vt:variant>
      <vt:variant>
        <vt:i4>5</vt:i4>
      </vt:variant>
      <vt:variant>
        <vt:lpwstr/>
      </vt:variant>
      <vt:variant>
        <vt:lpwstr>_Toc252880859</vt:lpwstr>
      </vt:variant>
      <vt:variant>
        <vt:i4>2031664</vt:i4>
      </vt:variant>
      <vt:variant>
        <vt:i4>20</vt:i4>
      </vt:variant>
      <vt:variant>
        <vt:i4>0</vt:i4>
      </vt:variant>
      <vt:variant>
        <vt:i4>5</vt:i4>
      </vt:variant>
      <vt:variant>
        <vt:lpwstr/>
      </vt:variant>
      <vt:variant>
        <vt:lpwstr>_Toc252880858</vt:lpwstr>
      </vt:variant>
      <vt:variant>
        <vt:i4>2031664</vt:i4>
      </vt:variant>
      <vt:variant>
        <vt:i4>14</vt:i4>
      </vt:variant>
      <vt:variant>
        <vt:i4>0</vt:i4>
      </vt:variant>
      <vt:variant>
        <vt:i4>5</vt:i4>
      </vt:variant>
      <vt:variant>
        <vt:lpwstr/>
      </vt:variant>
      <vt:variant>
        <vt:lpwstr>_Toc252880857</vt:lpwstr>
      </vt:variant>
      <vt:variant>
        <vt:i4>2031664</vt:i4>
      </vt:variant>
      <vt:variant>
        <vt:i4>8</vt:i4>
      </vt:variant>
      <vt:variant>
        <vt:i4>0</vt:i4>
      </vt:variant>
      <vt:variant>
        <vt:i4>5</vt:i4>
      </vt:variant>
      <vt:variant>
        <vt:lpwstr/>
      </vt:variant>
      <vt:variant>
        <vt:lpwstr>_Toc252880856</vt:lpwstr>
      </vt:variant>
      <vt:variant>
        <vt:i4>2031664</vt:i4>
      </vt:variant>
      <vt:variant>
        <vt:i4>2</vt:i4>
      </vt:variant>
      <vt:variant>
        <vt:i4>0</vt:i4>
      </vt:variant>
      <vt:variant>
        <vt:i4>5</vt:i4>
      </vt:variant>
      <vt:variant>
        <vt:lpwstr/>
      </vt:variant>
      <vt:variant>
        <vt:lpwstr>_Toc252880855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James Tipping</dc:creator>
  <dc:description>Use Status Property for Bottom Left Hand Footer</dc:description>
  <cp:lastModifiedBy>Fiona Wiseman</cp:lastModifiedBy>
  <cp:revision>28</cp:revision>
  <cp:lastPrinted>2017-10-09T03:09:00Z</cp:lastPrinted>
  <dcterms:created xsi:type="dcterms:W3CDTF">2017-10-08T19:46:00Z</dcterms:created>
  <dcterms:modified xsi:type="dcterms:W3CDTF">2017-10-09T03:33:00Z</dcterms:modified>
  <cp:contentStatus>Version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0x01010008AA873ECCFC454E8415DFDD4696920500F0C94C8DB589EF46AC2809D3D2564EB2</vt:lpwstr>
  </property>
  <property fmtid="{D5CDD505-2E9C-101B-9397-08002B2CF9AE}" pid="4" name="PCDocsNumber">
    <vt:lpwstr>2089760</vt:lpwstr>
  </property>
  <property fmtid="{D5CDD505-2E9C-101B-9397-08002B2CF9AE}" pid="5" name="PCDocsVersion">
    <vt:lpwstr>v1</vt:lpwstr>
  </property>
  <property fmtid="{D5CDD505-2E9C-101B-9397-08002B2CF9AE}" pid="6" name="PCDocsLibrary">
    <vt:lpwstr> </vt:lpwstr>
  </property>
  <property fmtid="{D5CDD505-2E9C-101B-9397-08002B2CF9AE}" pid="7" name="LDIsNewVersion">
    <vt:lpwstr>False</vt:lpwstr>
  </property>
  <property fmtid="{D5CDD505-2E9C-101B-9397-08002B2CF9AE}" pid="8" name="ContentType">
    <vt:lpwstr>Contract</vt:lpwstr>
  </property>
  <property fmtid="{D5CDD505-2E9C-101B-9397-08002B2CF9AE}" pid="9" name="Business ClassificationString">
    <vt:lpwstr/>
  </property>
  <property fmtid="{D5CDD505-2E9C-101B-9397-08002B2CF9AE}" pid="10" name="Business Classification">
    <vt:lpwstr/>
  </property>
  <property fmtid="{D5CDD505-2E9C-101B-9397-08002B2CF9AE}" pid="11" name="TP Location">
    <vt:lpwstr/>
  </property>
  <property fmtid="{D5CDD505-2E9C-101B-9397-08002B2CF9AE}" pid="12" name="TP LocationString">
    <vt:lpwstr/>
  </property>
  <property fmtid="{D5CDD505-2E9C-101B-9397-08002B2CF9AE}" pid="13" name="Contract Status">
    <vt:lpwstr>Submitted for response</vt:lpwstr>
  </property>
  <property fmtid="{D5CDD505-2E9C-101B-9397-08002B2CF9AE}" pid="14" name="Project_Name">
    <vt:lpwstr>6</vt:lpwstr>
  </property>
  <property fmtid="{D5CDD505-2E9C-101B-9397-08002B2CF9AE}" pid="15" name="Sub-Title">
    <vt:lpwstr/>
  </property>
  <property fmtid="{D5CDD505-2E9C-101B-9397-08002B2CF9AE}" pid="16" name="SharePoint Comments">
    <vt:lpwstr/>
  </property>
  <property fmtid="{D5CDD505-2E9C-101B-9397-08002B2CF9AE}" pid="17" name="Contract_Title0">
    <vt:lpwstr>24</vt:lpwstr>
  </property>
  <property fmtid="{D5CDD505-2E9C-101B-9397-08002B2CF9AE}" pid="18" name="Contract Company">
    <vt:lpwstr/>
  </property>
  <property fmtid="{D5CDD505-2E9C-101B-9397-08002B2CF9AE}" pid="19" name="_Identifier">
    <vt:lpwstr/>
  </property>
  <property fmtid="{D5CDD505-2E9C-101B-9397-08002B2CF9AE}" pid="20" name="Pysical Location">
    <vt:lpwstr/>
  </property>
  <property fmtid="{D5CDD505-2E9C-101B-9397-08002B2CF9AE}" pid="21" name="Part Number">
    <vt:lpwstr/>
  </property>
  <property fmtid="{D5CDD505-2E9C-101B-9397-08002B2CF9AE}" pid="22" name="Contract Owner">
    <vt:lpwstr/>
  </property>
  <property fmtid="{D5CDD505-2E9C-101B-9397-08002B2CF9AE}" pid="23" name="Contract_Section_Title0">
    <vt:lpwstr/>
  </property>
  <property fmtid="{D5CDD505-2E9C-101B-9397-08002B2CF9AE}" pid="24" name="Contract Type1">
    <vt:lpwstr/>
  </property>
  <property fmtid="{D5CDD505-2E9C-101B-9397-08002B2CF9AE}" pid="25" name="Contract_Date">
    <vt:lpwstr/>
  </property>
  <property fmtid="{D5CDD505-2E9C-101B-9397-08002B2CF9AE}" pid="26" name="Contract Expiry Date">
    <vt:lpwstr/>
  </property>
  <property fmtid="{D5CDD505-2E9C-101B-9397-08002B2CF9AE}" pid="27" name="Status">
    <vt:lpwstr>Version Draft</vt:lpwstr>
  </property>
</Properties>
</file>