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B3" w:rsidRDefault="001E08B3" w:rsidP="001E08B3">
      <w:pPr>
        <w:pStyle w:val="Heading1"/>
      </w:pPr>
      <w:bookmarkStart w:id="0" w:name="_Toc340244176"/>
      <w:r>
        <w:t>Appendix 1</w:t>
      </w:r>
      <w:r>
        <w:t>:</w:t>
      </w:r>
      <w:bookmarkStart w:id="1" w:name="_GoBack"/>
      <w:bookmarkEnd w:id="1"/>
      <w:r>
        <w:t xml:space="preserve"> List of questions for submitters</w:t>
      </w:r>
      <w:bookmarkEnd w:id="0"/>
    </w:p>
    <w:p w:rsidR="001E08B3" w:rsidRDefault="001E08B3" w:rsidP="001E08B3">
      <w:pPr>
        <w:pStyle w:val="BodyText"/>
      </w:pPr>
      <w:r>
        <w:fldChar w:fldCharType="begin"/>
      </w:r>
      <w:r>
        <w:instrText xml:space="preserve"> REF ReportTitle </w:instrText>
      </w:r>
      <w:r>
        <w:fldChar w:fldCharType="separate"/>
      </w:r>
      <w:r>
        <w:t>Statement of Proposal - amendments to the Gas Governance (Critical Contingency Management) Regulations 2008</w:t>
      </w:r>
      <w:r>
        <w:fldChar w:fldCharType="end"/>
      </w:r>
    </w:p>
    <w:p w:rsidR="001E08B3" w:rsidRDefault="001E08B3" w:rsidP="001E08B3">
      <w:pPr>
        <w:pStyle w:val="BodyText"/>
      </w:pPr>
      <w:r w:rsidRPr="00BE40EA">
        <w:t>Submission prepared by:</w:t>
      </w:r>
      <w:r w:rsidRPr="00BE40EA">
        <w:tab/>
        <w:t>(company name and contact)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7"/>
        <w:gridCol w:w="10065"/>
      </w:tblGrid>
      <w:tr w:rsidR="001E08B3" w:rsidTr="008F4E4C">
        <w:trPr>
          <w:cantSplit/>
          <w:trHeight w:val="223"/>
          <w:tblHeader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E08B3" w:rsidRDefault="001E08B3" w:rsidP="008F4E4C">
            <w:pPr>
              <w:pStyle w:val="Tableheading"/>
            </w:pPr>
            <w:bookmarkStart w:id="2" w:name="Questions"/>
            <w:bookmarkEnd w:id="2"/>
            <w:r>
              <w:t>QUESTION</w:t>
            </w:r>
          </w:p>
        </w:tc>
        <w:tc>
          <w:tcPr>
            <w:tcW w:w="10065" w:type="dxa"/>
            <w:shd w:val="clear" w:color="auto" w:fill="BFBFBF"/>
            <w:vAlign w:val="center"/>
          </w:tcPr>
          <w:p w:rsidR="001E08B3" w:rsidRDefault="001E08B3" w:rsidP="008F4E4C">
            <w:pPr>
              <w:pStyle w:val="Tableheading"/>
            </w:pPr>
            <w:r>
              <w:t>COMMENT</w:t>
            </w: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Q1: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Are there any other matters that should be addressed when considering proposals to amend the CCM Regulations?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Q2: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agree with the Gas Industry Co proposal to combine bands 2 and 3?  If not, please provide your reasons.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Q3: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consider that the option of trading gas usage rights during a critical contingency is worth exploring?  Please explain your reasoning.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Q4: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agree that regulation 53(1</w:t>
            </w:r>
            <w:proofErr w:type="gramStart"/>
            <w:r>
              <w:rPr>
                <w:lang w:val="en-AU"/>
              </w:rPr>
              <w:t>)(</w:t>
            </w:r>
            <w:proofErr w:type="gramEnd"/>
            <w:r>
              <w:rPr>
                <w:lang w:val="en-AU"/>
              </w:rPr>
              <w:t>d)(ii) and 53(2) provide the necessary flexibility for the CCO to respond to changing circumstances?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Q5: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have any comments on the analysis of ESP consumers?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Q6: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Are the proposed categories appropriate?  Are there any additional categories that you think should be included?  If so, please provide your justification.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lastRenderedPageBreak/>
              <w:t>Q7: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agree with the option evaluation set out above?  If not, please explain why.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Q8: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Are there any other criteria for MLC designation that you feel would be appropriate?  Please include your justification for any that you consider should be added.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Q9: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Would you delete any of the proposed categories?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Q10: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Should electricity generators be eligible for MLC status, as described in the first option above?  Or should there be a separate category, as described in the second option?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Q11: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agree with the above evaluation of options?  If not, please explain why.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Q12: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agree with the above evaluation of options?  If not, please give your reasons.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Q13: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agree with the 9-month timeframe for transitioning to the new ESP and MLC arrangements?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Q14: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agree with the tight provisions for designations during a critical contingency event?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lastRenderedPageBreak/>
              <w:t>Q15: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agree that the communications framework outlined above is the minimum that should be provided for in terms of public communications during a contingency event?  If not, please give your reasons.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Q16: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Have we correctly identified the parties that should provide communications and the information that each should provide?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Q17: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agree that contingency imbalances should only apply in the case of non-regional contingencies?  If not, what rationale would you provide for applying contingency imbalances to all critical contingencies (given that the Vector Transmission Code already provides for shipper mismatch)?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Q18: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agree that a set of guidelines would be the most efficient way to identify regional contingencies?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Q19: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agree that the CCO is the best party to determine regional/non-regional status of a critical contingency?  If not, who would have better information on which to base a determination?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Q20: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agree that the CCO’s role should allow direction of system reconfiguration, as outlined above?  Is it important that the CCO only make such a direction where it is supported by the affected TSO?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lastRenderedPageBreak/>
              <w:t>Q21: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agree with this analysis?  If not, please state why.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Q22: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agree that the CCO is best placed to write the performance report after a critical contingency?  If not, who would be better placed?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Q23: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agree with the modifications to the performance report provisions outlined above?  If not, please identify those you do not agree with and explain why.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Q24: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agree that the CCO should collect and publish information on scheduled outages as outlined above?  If not, please explain why.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Q25: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agree that if the CCO requires more granular data, the most efficient source would be the allocation agent?  If not, what other means would you suggest, and why?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Q26: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have any comment on the need to ensure that Gas Industry Co is always able to appoint a party as the CCO and the need to ensure that the CCO always has access to the information and data required to fulfil the role?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lastRenderedPageBreak/>
              <w:t>Q27: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Gas Industry Co proposes annual notifications to customers as a means of encouraging customers to make appropriate arrangements to cope with a critical contingency.  Do you agree with this frequency and if not, why not?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Q28: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Given that the seriousness of a situation that requires curtailment of Band 6, do you agree with the proposal to use text messaging to contact Band 6 customers urgently?  If not, how would you propose to notify these customers in a manner that ensures they understand the need to curtail their gas use?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Q29: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While we are sympathetic to retailers’ concerns about contacting large numbers of customers, there appears to be merit in placing a ‘best endeavours’ obligation on retailers to contact at least their largest customers in Band 6 regarding curtailment progress.  Please provide your views on this issue.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Q30: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Please provide your views on the proposals outlined above for retailer curtailment plans.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Q31: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agree that retailers are best placed to assist their customers in applying for ESP or MLC status?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Q32: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agree with the changes proposed to improve compliance with the CCM Regulations?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lastRenderedPageBreak/>
              <w:t>Q33: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 xml:space="preserve">Do you agree that using data from the allocation agent is the most expedient way of checking compliance with curtailment directions by </w:t>
            </w:r>
            <w:proofErr w:type="spellStart"/>
            <w:r>
              <w:rPr>
                <w:lang w:val="en-AU"/>
              </w:rPr>
              <w:t>ToU</w:t>
            </w:r>
            <w:proofErr w:type="spellEnd"/>
            <w:r>
              <w:rPr>
                <w:lang w:val="en-AU"/>
              </w:rPr>
              <w:t>-metered customers?  If not, what alternative would you suggest, and why?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  <w:tr w:rsidR="001E08B3" w:rsidTr="008F4E4C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Q34: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1E08B3" w:rsidRDefault="001E08B3" w:rsidP="008F4E4C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Do you agree with this proposal?  If not, please give your reasons.</w:t>
            </w:r>
          </w:p>
        </w:tc>
        <w:tc>
          <w:tcPr>
            <w:tcW w:w="10065" w:type="dxa"/>
            <w:vAlign w:val="center"/>
          </w:tcPr>
          <w:p w:rsidR="001E08B3" w:rsidRDefault="001E08B3" w:rsidP="008F4E4C">
            <w:pPr>
              <w:pStyle w:val="Tablebodytext"/>
            </w:pPr>
          </w:p>
        </w:tc>
      </w:tr>
    </w:tbl>
    <w:p w:rsidR="001E08B3" w:rsidRDefault="001E08B3" w:rsidP="001E08B3">
      <w:pPr>
        <w:pStyle w:val="BodyText"/>
      </w:pPr>
    </w:p>
    <w:p w:rsidR="00C71B0E" w:rsidRPr="001E08B3" w:rsidRDefault="00C71B0E" w:rsidP="001E08B3"/>
    <w:sectPr w:rsidR="00C71B0E" w:rsidRPr="001E08B3" w:rsidSect="00D40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71" w:rsidRDefault="00D40E71" w:rsidP="00D40E71">
      <w:r>
        <w:separator/>
      </w:r>
    </w:p>
  </w:endnote>
  <w:endnote w:type="continuationSeparator" w:id="0">
    <w:p w:rsidR="00D40E71" w:rsidRDefault="00D40E71" w:rsidP="00D4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45 Light">
    <w:altName w:val="Corbel"/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71" w:rsidRPr="00D40E71" w:rsidRDefault="00D40E71" w:rsidP="00D40E71">
    <w:pPr>
      <w:pStyle w:val="Footer"/>
      <w:jc w:val="right"/>
      <w:rPr>
        <w:sz w:val="16"/>
      </w:rPr>
    </w:pPr>
    <w:bookmarkStart w:id="3" w:name="DocName3"/>
    <w:r>
      <w:rPr>
        <w:sz w:val="16"/>
      </w:rPr>
      <w:t>183129.1</w:t>
    </w:r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71" w:rsidRPr="00D40E71" w:rsidRDefault="00D40E71" w:rsidP="00D40E71">
    <w:pPr>
      <w:pStyle w:val="Footer"/>
      <w:rPr>
        <w:sz w:val="16"/>
      </w:rPr>
    </w:pPr>
    <w:bookmarkStart w:id="4" w:name="DocName1"/>
    <w:r>
      <w:rPr>
        <w:sz w:val="16"/>
      </w:rPr>
      <w:t>183129.1</w:t>
    </w:r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71" w:rsidRPr="00D40E71" w:rsidRDefault="00D40E71" w:rsidP="00D40E71">
    <w:pPr>
      <w:pStyle w:val="Footer"/>
      <w:rPr>
        <w:sz w:val="16"/>
      </w:rPr>
    </w:pPr>
    <w:bookmarkStart w:id="5" w:name="DocName2"/>
    <w:r>
      <w:rPr>
        <w:sz w:val="16"/>
      </w:rPr>
      <w:t>183129.1</w:t>
    </w:r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71" w:rsidRDefault="00D40E71" w:rsidP="00D40E71">
      <w:r>
        <w:separator/>
      </w:r>
    </w:p>
  </w:footnote>
  <w:footnote w:type="continuationSeparator" w:id="0">
    <w:p w:rsidR="00D40E71" w:rsidRDefault="00D40E71" w:rsidP="00D40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71" w:rsidRDefault="00D40E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71" w:rsidRDefault="00D40E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71" w:rsidRDefault="00D40E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71"/>
    <w:rsid w:val="001E08B3"/>
    <w:rsid w:val="00421614"/>
    <w:rsid w:val="00C71B0E"/>
    <w:rsid w:val="00D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1E08B3"/>
    <w:pPr>
      <w:spacing w:after="0" w:line="240" w:lineRule="auto"/>
    </w:pPr>
    <w:rPr>
      <w:rFonts w:ascii="Frutiger LT 45 Light" w:eastAsia="Times New Roman" w:hAnsi="Frutiger LT 45 Light" w:cs="Times New Roman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qFormat/>
    <w:rsid w:val="001E08B3"/>
    <w:pPr>
      <w:keepNext/>
      <w:keepLines/>
      <w:pBdr>
        <w:bottom w:val="single" w:sz="12" w:space="4" w:color="auto"/>
      </w:pBdr>
      <w:spacing w:after="360"/>
      <w:outlineLvl w:val="0"/>
    </w:pPr>
    <w:rPr>
      <w:rFonts w:eastAsiaTheme="majorEastAsia" w:cstheme="majorBidi"/>
      <w:b/>
      <w:b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E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40E71"/>
  </w:style>
  <w:style w:type="paragraph" w:styleId="Footer">
    <w:name w:val="footer"/>
    <w:basedOn w:val="Normal"/>
    <w:link w:val="FooterChar"/>
    <w:uiPriority w:val="99"/>
    <w:unhideWhenUsed/>
    <w:rsid w:val="00D40E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0E71"/>
  </w:style>
  <w:style w:type="character" w:customStyle="1" w:styleId="Heading1Char">
    <w:name w:val="Heading 1 Char"/>
    <w:basedOn w:val="DefaultParagraphFont"/>
    <w:link w:val="Heading1"/>
    <w:rsid w:val="001E08B3"/>
    <w:rPr>
      <w:rFonts w:ascii="Frutiger LT 45 Light" w:eastAsiaTheme="majorEastAsia" w:hAnsi="Frutiger LT 45 Light" w:cstheme="majorBidi"/>
      <w:b/>
      <w:bCs/>
      <w:sz w:val="48"/>
      <w:szCs w:val="2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1E08B3"/>
    <w:pPr>
      <w:spacing w:after="240" w:line="320" w:lineRule="atLeast"/>
    </w:pPr>
  </w:style>
  <w:style w:type="character" w:customStyle="1" w:styleId="BodyTextChar">
    <w:name w:val="Body Text Char"/>
    <w:basedOn w:val="DefaultParagraphFont"/>
    <w:link w:val="BodyText"/>
    <w:uiPriority w:val="1"/>
    <w:rsid w:val="001E08B3"/>
    <w:rPr>
      <w:rFonts w:ascii="Frutiger LT 45 Light" w:eastAsia="Times New Roman" w:hAnsi="Frutiger LT 45 Light" w:cs="Times New Roman"/>
      <w:szCs w:val="20"/>
      <w:lang w:eastAsia="en-GB"/>
    </w:rPr>
  </w:style>
  <w:style w:type="paragraph" w:customStyle="1" w:styleId="Tablebodytext">
    <w:name w:val="Table body text"/>
    <w:basedOn w:val="BodyText"/>
    <w:uiPriority w:val="14"/>
    <w:rsid w:val="001E08B3"/>
    <w:pPr>
      <w:spacing w:before="60" w:after="60" w:line="240" w:lineRule="atLeast"/>
    </w:pPr>
    <w:rPr>
      <w:sz w:val="20"/>
    </w:rPr>
  </w:style>
  <w:style w:type="paragraph" w:customStyle="1" w:styleId="Tableheading">
    <w:name w:val="Table heading"/>
    <w:basedOn w:val="BodyText"/>
    <w:uiPriority w:val="14"/>
    <w:rsid w:val="001E08B3"/>
    <w:pPr>
      <w:keepNext/>
      <w:spacing w:before="120" w:after="120" w:line="240" w:lineRule="auto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1E08B3"/>
    <w:pPr>
      <w:spacing w:after="0" w:line="240" w:lineRule="auto"/>
    </w:pPr>
    <w:rPr>
      <w:rFonts w:ascii="Frutiger LT 45 Light" w:eastAsia="Times New Roman" w:hAnsi="Frutiger LT 45 Light" w:cs="Times New Roman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qFormat/>
    <w:rsid w:val="001E08B3"/>
    <w:pPr>
      <w:keepNext/>
      <w:keepLines/>
      <w:pBdr>
        <w:bottom w:val="single" w:sz="12" w:space="4" w:color="auto"/>
      </w:pBdr>
      <w:spacing w:after="360"/>
      <w:outlineLvl w:val="0"/>
    </w:pPr>
    <w:rPr>
      <w:rFonts w:eastAsiaTheme="majorEastAsia" w:cstheme="majorBidi"/>
      <w:b/>
      <w:b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E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40E71"/>
  </w:style>
  <w:style w:type="paragraph" w:styleId="Footer">
    <w:name w:val="footer"/>
    <w:basedOn w:val="Normal"/>
    <w:link w:val="FooterChar"/>
    <w:uiPriority w:val="99"/>
    <w:unhideWhenUsed/>
    <w:rsid w:val="00D40E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0E71"/>
  </w:style>
  <w:style w:type="character" w:customStyle="1" w:styleId="Heading1Char">
    <w:name w:val="Heading 1 Char"/>
    <w:basedOn w:val="DefaultParagraphFont"/>
    <w:link w:val="Heading1"/>
    <w:rsid w:val="001E08B3"/>
    <w:rPr>
      <w:rFonts w:ascii="Frutiger LT 45 Light" w:eastAsiaTheme="majorEastAsia" w:hAnsi="Frutiger LT 45 Light" w:cstheme="majorBidi"/>
      <w:b/>
      <w:bCs/>
      <w:sz w:val="48"/>
      <w:szCs w:val="2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1E08B3"/>
    <w:pPr>
      <w:spacing w:after="240" w:line="320" w:lineRule="atLeast"/>
    </w:pPr>
  </w:style>
  <w:style w:type="character" w:customStyle="1" w:styleId="BodyTextChar">
    <w:name w:val="Body Text Char"/>
    <w:basedOn w:val="DefaultParagraphFont"/>
    <w:link w:val="BodyText"/>
    <w:uiPriority w:val="1"/>
    <w:rsid w:val="001E08B3"/>
    <w:rPr>
      <w:rFonts w:ascii="Frutiger LT 45 Light" w:eastAsia="Times New Roman" w:hAnsi="Frutiger LT 45 Light" w:cs="Times New Roman"/>
      <w:szCs w:val="20"/>
      <w:lang w:eastAsia="en-GB"/>
    </w:rPr>
  </w:style>
  <w:style w:type="paragraph" w:customStyle="1" w:styleId="Tablebodytext">
    <w:name w:val="Table body text"/>
    <w:basedOn w:val="BodyText"/>
    <w:uiPriority w:val="14"/>
    <w:rsid w:val="001E08B3"/>
    <w:pPr>
      <w:spacing w:before="60" w:after="60" w:line="240" w:lineRule="atLeast"/>
    </w:pPr>
    <w:rPr>
      <w:sz w:val="20"/>
    </w:rPr>
  </w:style>
  <w:style w:type="paragraph" w:customStyle="1" w:styleId="Tableheading">
    <w:name w:val="Table heading"/>
    <w:basedOn w:val="BodyText"/>
    <w:uiPriority w:val="14"/>
    <w:rsid w:val="001E08B3"/>
    <w:pPr>
      <w:keepNext/>
      <w:spacing w:before="120" w:after="120" w:line="240" w:lineRule="auto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805</Words>
  <Characters>4591</Characters>
  <Application>Microsoft Office Word</Application>
  <DocSecurity>0</DocSecurity>
  <Lines>38</Lines>
  <Paragraphs>10</Paragraphs>
  <ScaleCrop>false</ScaleCrop>
  <Company>Gas Industry Company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 Template - Statement of Proposal - amendments to the Gas Governance (Critical Contingency Management) Regulations 2008</dc:subject>
  <dc:creator>Tim Herbert</dc:creator>
  <cp:keywords/>
  <dc:description/>
  <cp:lastModifiedBy>Tim Herbert</cp:lastModifiedBy>
  <cp:revision>2</cp:revision>
  <dcterms:created xsi:type="dcterms:W3CDTF">2012-11-12T03:50:00Z</dcterms:created>
  <dcterms:modified xsi:type="dcterms:W3CDTF">2012-11-12T03:50:00Z</dcterms:modified>
</cp:coreProperties>
</file>