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89D" w:rsidRDefault="0029089D" w:rsidP="0029089D">
      <w:pPr>
        <w:pStyle w:val="Heading1"/>
        <w:pageBreakBefore/>
      </w:pPr>
      <w:bookmarkStart w:id="0" w:name="_Toc398900123"/>
      <w:bookmarkStart w:id="1" w:name="_Toc401064961"/>
      <w:r>
        <w:t>Appendix A: Submissions Template</w:t>
      </w:r>
      <w:bookmarkEnd w:id="0"/>
      <w:bookmarkEnd w:id="1"/>
    </w:p>
    <w:p w:rsidR="0029089D" w:rsidRDefault="0029089D" w:rsidP="0029089D">
      <w:pPr>
        <w:pStyle w:val="BodyText"/>
      </w:pPr>
      <w:fldSimple w:instr=" REF ReportTitle ">
        <w:r>
          <w:t>Draft Decision Paper -</w:t>
        </w:r>
        <w:r w:rsidRPr="00E47FA8">
          <w:t xml:space="preserve"> </w:t>
        </w:r>
        <w:r>
          <w:t xml:space="preserve">Framework for </w:t>
        </w:r>
        <w:r>
          <w:rPr>
            <w:noProof/>
          </w:rPr>
          <w:t>gas retailer insolvency arrangements</w:t>
        </w:r>
        <w:r>
          <w:t xml:space="preserve"> </w:t>
        </w:r>
      </w:fldSimple>
    </w:p>
    <w:p w:rsidR="0029089D" w:rsidRDefault="0029089D" w:rsidP="0029089D">
      <w:pPr>
        <w:pStyle w:val="BodyText"/>
      </w:pPr>
      <w:r w:rsidRPr="00BE40EA">
        <w:t>Submission prepared by:</w:t>
      </w:r>
      <w:r w:rsidRPr="00BE40EA">
        <w:tab/>
        <w:t>(company name and contact)</w:t>
      </w:r>
    </w:p>
    <w:tbl>
      <w:tblPr>
        <w:tblW w:w="12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827"/>
        <w:gridCol w:w="8251"/>
      </w:tblGrid>
      <w:tr w:rsidR="0029089D" w:rsidTr="0048675C">
        <w:trPr>
          <w:cantSplit/>
          <w:trHeight w:val="223"/>
          <w:tblHeader/>
        </w:trPr>
        <w:tc>
          <w:tcPr>
            <w:tcW w:w="4536" w:type="dxa"/>
            <w:gridSpan w:val="2"/>
            <w:tcBorders>
              <w:bottom w:val="single" w:sz="4" w:space="0" w:color="auto"/>
            </w:tcBorders>
            <w:shd w:val="clear" w:color="auto" w:fill="BFBFBF"/>
            <w:vAlign w:val="center"/>
          </w:tcPr>
          <w:p w:rsidR="0029089D" w:rsidRDefault="0029089D" w:rsidP="0048675C">
            <w:pPr>
              <w:pStyle w:val="Tableheading"/>
            </w:pPr>
            <w:r>
              <w:t>QUESTION</w:t>
            </w:r>
          </w:p>
        </w:tc>
        <w:tc>
          <w:tcPr>
            <w:tcW w:w="8251" w:type="dxa"/>
            <w:shd w:val="clear" w:color="auto" w:fill="BFBFBF"/>
            <w:vAlign w:val="center"/>
          </w:tcPr>
          <w:p w:rsidR="0029089D" w:rsidRDefault="0029089D" w:rsidP="0048675C">
            <w:pPr>
              <w:pStyle w:val="Tableheading"/>
            </w:pPr>
            <w:r>
              <w:t>COMMENT</w:t>
            </w:r>
          </w:p>
        </w:tc>
      </w:tr>
      <w:tr w:rsidR="0029089D" w:rsidTr="0048675C">
        <w:trPr>
          <w:cantSplit/>
          <w:trHeight w:val="854"/>
        </w:trPr>
        <w:tc>
          <w:tcPr>
            <w:tcW w:w="709" w:type="dxa"/>
            <w:tcBorders>
              <w:right w:val="nil"/>
            </w:tcBorders>
            <w:shd w:val="clear" w:color="auto" w:fill="AACACE"/>
            <w:vAlign w:val="center"/>
          </w:tcPr>
          <w:p w:rsidR="0029089D" w:rsidRDefault="0029089D" w:rsidP="0048675C">
            <w:pPr>
              <w:pStyle w:val="Tablebodytext"/>
              <w:rPr>
                <w:lang w:val="en-AU"/>
              </w:rPr>
            </w:pPr>
            <w:r>
              <w:rPr>
                <w:lang w:val="en-AU"/>
              </w:rPr>
              <w:t>Q1</w:t>
            </w:r>
          </w:p>
        </w:tc>
        <w:tc>
          <w:tcPr>
            <w:tcW w:w="3827" w:type="dxa"/>
            <w:tcBorders>
              <w:left w:val="nil"/>
            </w:tcBorders>
            <w:shd w:val="clear" w:color="auto" w:fill="AACACE"/>
            <w:vAlign w:val="center"/>
          </w:tcPr>
          <w:p w:rsidR="0029089D" w:rsidRDefault="0029089D" w:rsidP="0048675C">
            <w:pPr>
              <w:pStyle w:val="Tablebodytext"/>
              <w:rPr>
                <w:lang w:val="en-AU"/>
              </w:rPr>
            </w:pPr>
            <w:r w:rsidRPr="000E5C60">
              <w:rPr>
                <w:lang w:val="en-AU"/>
              </w:rPr>
              <w:t>Do you have any comments on the high-level process described in this section?</w:t>
            </w:r>
          </w:p>
        </w:tc>
        <w:tc>
          <w:tcPr>
            <w:tcW w:w="8251" w:type="dxa"/>
            <w:vAlign w:val="center"/>
          </w:tcPr>
          <w:p w:rsidR="0029089D" w:rsidRDefault="0029089D" w:rsidP="0048675C">
            <w:pPr>
              <w:pStyle w:val="Tablebodytext"/>
            </w:pPr>
          </w:p>
        </w:tc>
      </w:tr>
      <w:tr w:rsidR="0029089D" w:rsidTr="0048675C">
        <w:trPr>
          <w:cantSplit/>
          <w:trHeight w:val="854"/>
        </w:trPr>
        <w:tc>
          <w:tcPr>
            <w:tcW w:w="709" w:type="dxa"/>
            <w:tcBorders>
              <w:right w:val="nil"/>
            </w:tcBorders>
            <w:shd w:val="clear" w:color="auto" w:fill="AACACE"/>
            <w:vAlign w:val="center"/>
          </w:tcPr>
          <w:p w:rsidR="0029089D" w:rsidRDefault="0029089D" w:rsidP="0048675C">
            <w:pPr>
              <w:pStyle w:val="Tablebodytext"/>
              <w:rPr>
                <w:lang w:val="en-AU"/>
              </w:rPr>
            </w:pPr>
            <w:r>
              <w:rPr>
                <w:lang w:val="en-AU"/>
              </w:rPr>
              <w:t>Q2</w:t>
            </w:r>
          </w:p>
        </w:tc>
        <w:tc>
          <w:tcPr>
            <w:tcW w:w="3827" w:type="dxa"/>
            <w:tcBorders>
              <w:left w:val="nil"/>
            </w:tcBorders>
            <w:shd w:val="clear" w:color="auto" w:fill="AACACE"/>
            <w:vAlign w:val="center"/>
          </w:tcPr>
          <w:p w:rsidR="0029089D" w:rsidRPr="000E5C60" w:rsidRDefault="0029089D" w:rsidP="0048675C">
            <w:pPr>
              <w:pStyle w:val="Tablebodytext"/>
              <w:rPr>
                <w:lang w:val="en-AU"/>
              </w:rPr>
            </w:pPr>
            <w:r w:rsidRPr="000E5C60">
              <w:rPr>
                <w:lang w:val="en-AU"/>
              </w:rPr>
              <w:t xml:space="preserve">Do you have any comment regarding the insolvency trigger?  </w:t>
            </w:r>
          </w:p>
        </w:tc>
        <w:tc>
          <w:tcPr>
            <w:tcW w:w="8251" w:type="dxa"/>
            <w:vAlign w:val="center"/>
          </w:tcPr>
          <w:p w:rsidR="0029089D" w:rsidRDefault="0029089D" w:rsidP="0048675C">
            <w:pPr>
              <w:pStyle w:val="Tablebodytext"/>
            </w:pPr>
          </w:p>
        </w:tc>
      </w:tr>
      <w:tr w:rsidR="0029089D" w:rsidTr="0048675C">
        <w:trPr>
          <w:cantSplit/>
          <w:trHeight w:val="854"/>
        </w:trPr>
        <w:tc>
          <w:tcPr>
            <w:tcW w:w="709" w:type="dxa"/>
            <w:tcBorders>
              <w:right w:val="nil"/>
            </w:tcBorders>
            <w:shd w:val="clear" w:color="auto" w:fill="AACACE"/>
            <w:vAlign w:val="center"/>
          </w:tcPr>
          <w:p w:rsidR="0029089D" w:rsidRDefault="0029089D" w:rsidP="0048675C">
            <w:pPr>
              <w:pStyle w:val="Tablebodytext"/>
              <w:rPr>
                <w:lang w:val="en-AU"/>
              </w:rPr>
            </w:pPr>
            <w:r>
              <w:rPr>
                <w:lang w:val="en-AU"/>
              </w:rPr>
              <w:t>Q3</w:t>
            </w:r>
          </w:p>
        </w:tc>
        <w:tc>
          <w:tcPr>
            <w:tcW w:w="3827" w:type="dxa"/>
            <w:tcBorders>
              <w:left w:val="nil"/>
            </w:tcBorders>
            <w:shd w:val="clear" w:color="auto" w:fill="AACACE"/>
            <w:vAlign w:val="center"/>
          </w:tcPr>
          <w:p w:rsidR="0029089D" w:rsidRPr="000E5C60" w:rsidRDefault="0029089D" w:rsidP="0048675C">
            <w:pPr>
              <w:pStyle w:val="Tablebodytext"/>
              <w:rPr>
                <w:lang w:val="en-AU"/>
              </w:rPr>
            </w:pPr>
            <w:r w:rsidRPr="000E5C60">
              <w:rPr>
                <w:lang w:val="en-AU"/>
              </w:rPr>
              <w:t>Should the obligation to report a retailer insolvency be placed on retailers only, to report their own insolvencies, or should gas producers, gas wholesalers, and the allocation agent also have reporting responsibilities (as proposed above)?</w:t>
            </w:r>
          </w:p>
        </w:tc>
        <w:tc>
          <w:tcPr>
            <w:tcW w:w="8251" w:type="dxa"/>
            <w:vAlign w:val="center"/>
          </w:tcPr>
          <w:p w:rsidR="0029089D" w:rsidRDefault="0029089D" w:rsidP="0048675C">
            <w:pPr>
              <w:pStyle w:val="Tablebodytext"/>
            </w:pPr>
          </w:p>
        </w:tc>
      </w:tr>
      <w:tr w:rsidR="0029089D" w:rsidTr="0048675C">
        <w:trPr>
          <w:cantSplit/>
          <w:trHeight w:val="854"/>
        </w:trPr>
        <w:tc>
          <w:tcPr>
            <w:tcW w:w="709" w:type="dxa"/>
            <w:tcBorders>
              <w:right w:val="nil"/>
            </w:tcBorders>
            <w:shd w:val="clear" w:color="auto" w:fill="AACACE"/>
            <w:vAlign w:val="center"/>
          </w:tcPr>
          <w:p w:rsidR="0029089D" w:rsidRDefault="0029089D" w:rsidP="0048675C">
            <w:pPr>
              <w:pStyle w:val="Tablebodytext"/>
              <w:rPr>
                <w:lang w:val="en-AU"/>
              </w:rPr>
            </w:pPr>
            <w:r>
              <w:rPr>
                <w:lang w:val="en-AU"/>
              </w:rPr>
              <w:t>Q4</w:t>
            </w:r>
          </w:p>
        </w:tc>
        <w:tc>
          <w:tcPr>
            <w:tcW w:w="3827" w:type="dxa"/>
            <w:tcBorders>
              <w:left w:val="nil"/>
            </w:tcBorders>
            <w:shd w:val="clear" w:color="auto" w:fill="AACACE"/>
            <w:vAlign w:val="center"/>
          </w:tcPr>
          <w:p w:rsidR="0029089D" w:rsidRPr="000E5C60" w:rsidRDefault="0029089D" w:rsidP="0048675C">
            <w:pPr>
              <w:pStyle w:val="Tablebodytext"/>
              <w:rPr>
                <w:lang w:val="en-AU"/>
              </w:rPr>
            </w:pPr>
            <w:r w:rsidRPr="000E5C60">
              <w:rPr>
                <w:lang w:val="en-AU"/>
              </w:rPr>
              <w:t>Do you agree that these changes to the Switching Rules would be minor and would not adversely affect the interest of any person in a substantial way?</w:t>
            </w:r>
          </w:p>
        </w:tc>
        <w:tc>
          <w:tcPr>
            <w:tcW w:w="8251" w:type="dxa"/>
            <w:vAlign w:val="center"/>
          </w:tcPr>
          <w:p w:rsidR="0029089D" w:rsidRDefault="0029089D" w:rsidP="0048675C">
            <w:pPr>
              <w:pStyle w:val="Tablebodytext"/>
            </w:pPr>
          </w:p>
        </w:tc>
      </w:tr>
      <w:tr w:rsidR="0029089D" w:rsidTr="0048675C">
        <w:trPr>
          <w:cantSplit/>
          <w:trHeight w:val="854"/>
        </w:trPr>
        <w:tc>
          <w:tcPr>
            <w:tcW w:w="709" w:type="dxa"/>
            <w:tcBorders>
              <w:right w:val="nil"/>
            </w:tcBorders>
            <w:shd w:val="clear" w:color="auto" w:fill="AACACE"/>
            <w:vAlign w:val="center"/>
          </w:tcPr>
          <w:p w:rsidR="0029089D" w:rsidRDefault="0029089D" w:rsidP="0048675C">
            <w:pPr>
              <w:pStyle w:val="Tablebodytext"/>
              <w:rPr>
                <w:lang w:val="en-AU"/>
              </w:rPr>
            </w:pPr>
            <w:r>
              <w:rPr>
                <w:lang w:val="en-AU"/>
              </w:rPr>
              <w:t>Q5</w:t>
            </w:r>
          </w:p>
        </w:tc>
        <w:tc>
          <w:tcPr>
            <w:tcW w:w="3827" w:type="dxa"/>
            <w:tcBorders>
              <w:left w:val="nil"/>
            </w:tcBorders>
            <w:shd w:val="clear" w:color="auto" w:fill="AACACE"/>
            <w:vAlign w:val="center"/>
          </w:tcPr>
          <w:p w:rsidR="0029089D" w:rsidRPr="000E5C60" w:rsidRDefault="0029089D" w:rsidP="0048675C">
            <w:pPr>
              <w:pStyle w:val="Tablebodytext"/>
              <w:rPr>
                <w:lang w:val="en-AU"/>
              </w:rPr>
            </w:pPr>
            <w:r w:rsidRPr="000E5C60">
              <w:rPr>
                <w:lang w:val="en-AU"/>
              </w:rPr>
              <w:t>Do you agree that the Switching Rules be amended to include the ability for Gas Industry Co to require information from an insolvent retailer?</w:t>
            </w:r>
          </w:p>
        </w:tc>
        <w:tc>
          <w:tcPr>
            <w:tcW w:w="8251" w:type="dxa"/>
            <w:vAlign w:val="center"/>
          </w:tcPr>
          <w:p w:rsidR="0029089D" w:rsidRDefault="0029089D" w:rsidP="0048675C">
            <w:pPr>
              <w:pStyle w:val="Tablebodytext"/>
            </w:pPr>
          </w:p>
        </w:tc>
      </w:tr>
      <w:tr w:rsidR="0029089D" w:rsidTr="0048675C">
        <w:trPr>
          <w:cantSplit/>
          <w:trHeight w:val="854"/>
        </w:trPr>
        <w:tc>
          <w:tcPr>
            <w:tcW w:w="709" w:type="dxa"/>
            <w:tcBorders>
              <w:right w:val="nil"/>
            </w:tcBorders>
            <w:shd w:val="clear" w:color="auto" w:fill="AACACE"/>
            <w:vAlign w:val="center"/>
          </w:tcPr>
          <w:p w:rsidR="0029089D" w:rsidRDefault="0029089D" w:rsidP="0048675C">
            <w:pPr>
              <w:pStyle w:val="Tablebodytext"/>
              <w:rPr>
                <w:lang w:val="en-AU"/>
              </w:rPr>
            </w:pPr>
            <w:r>
              <w:rPr>
                <w:lang w:val="en-AU"/>
              </w:rPr>
              <w:t>Q6</w:t>
            </w:r>
          </w:p>
        </w:tc>
        <w:tc>
          <w:tcPr>
            <w:tcW w:w="3827" w:type="dxa"/>
            <w:tcBorders>
              <w:left w:val="nil"/>
            </w:tcBorders>
            <w:shd w:val="clear" w:color="auto" w:fill="AACACE"/>
            <w:vAlign w:val="center"/>
          </w:tcPr>
          <w:p w:rsidR="0029089D" w:rsidRPr="000E5C60" w:rsidRDefault="0029089D" w:rsidP="0048675C">
            <w:pPr>
              <w:pStyle w:val="Tablebodytext"/>
              <w:rPr>
                <w:lang w:val="en-AU"/>
              </w:rPr>
            </w:pPr>
            <w:r w:rsidRPr="000E5C60">
              <w:rPr>
                <w:lang w:val="en-AU"/>
              </w:rPr>
              <w:t>Do you agree with the proposed content of the report(s)?  Are there items that should be added or deleted, and why?</w:t>
            </w:r>
          </w:p>
        </w:tc>
        <w:tc>
          <w:tcPr>
            <w:tcW w:w="8251" w:type="dxa"/>
            <w:vAlign w:val="center"/>
          </w:tcPr>
          <w:p w:rsidR="0029089D" w:rsidRDefault="0029089D" w:rsidP="0048675C">
            <w:pPr>
              <w:pStyle w:val="Tablebodytext"/>
            </w:pPr>
          </w:p>
        </w:tc>
      </w:tr>
      <w:tr w:rsidR="0029089D" w:rsidTr="0048675C">
        <w:trPr>
          <w:cantSplit/>
          <w:trHeight w:val="854"/>
        </w:trPr>
        <w:tc>
          <w:tcPr>
            <w:tcW w:w="709" w:type="dxa"/>
            <w:tcBorders>
              <w:right w:val="nil"/>
            </w:tcBorders>
            <w:shd w:val="clear" w:color="auto" w:fill="AACACE"/>
            <w:vAlign w:val="center"/>
          </w:tcPr>
          <w:p w:rsidR="0029089D" w:rsidRDefault="0029089D" w:rsidP="0048675C">
            <w:pPr>
              <w:pStyle w:val="Tablebodytext"/>
              <w:rPr>
                <w:lang w:val="en-AU"/>
              </w:rPr>
            </w:pPr>
            <w:r>
              <w:rPr>
                <w:lang w:val="en-AU"/>
              </w:rPr>
              <w:lastRenderedPageBreak/>
              <w:t>Q7</w:t>
            </w:r>
          </w:p>
        </w:tc>
        <w:tc>
          <w:tcPr>
            <w:tcW w:w="3827" w:type="dxa"/>
            <w:tcBorders>
              <w:left w:val="nil"/>
            </w:tcBorders>
            <w:shd w:val="clear" w:color="auto" w:fill="AACACE"/>
            <w:vAlign w:val="center"/>
          </w:tcPr>
          <w:p w:rsidR="0029089D" w:rsidRPr="000E5C60" w:rsidRDefault="0029089D" w:rsidP="0048675C">
            <w:pPr>
              <w:pStyle w:val="Tablebodytext"/>
              <w:rPr>
                <w:lang w:val="en-AU"/>
              </w:rPr>
            </w:pPr>
            <w:r w:rsidRPr="000E5C60">
              <w:rPr>
                <w:lang w:val="en-AU"/>
              </w:rPr>
              <w:t>Do you agree that these changes are minor and would not adversely affect the interest of any person in a substantial way?</w:t>
            </w:r>
          </w:p>
        </w:tc>
        <w:tc>
          <w:tcPr>
            <w:tcW w:w="8251" w:type="dxa"/>
            <w:vAlign w:val="center"/>
          </w:tcPr>
          <w:p w:rsidR="0029089D" w:rsidRDefault="0029089D" w:rsidP="0048675C">
            <w:pPr>
              <w:pStyle w:val="Tablebodytext"/>
            </w:pPr>
          </w:p>
        </w:tc>
      </w:tr>
      <w:tr w:rsidR="0029089D" w:rsidTr="0048675C">
        <w:trPr>
          <w:cantSplit/>
          <w:trHeight w:val="854"/>
        </w:trPr>
        <w:tc>
          <w:tcPr>
            <w:tcW w:w="709" w:type="dxa"/>
            <w:tcBorders>
              <w:right w:val="nil"/>
            </w:tcBorders>
            <w:shd w:val="clear" w:color="auto" w:fill="AACACE"/>
            <w:vAlign w:val="center"/>
          </w:tcPr>
          <w:p w:rsidR="0029089D" w:rsidRDefault="0029089D" w:rsidP="0048675C">
            <w:pPr>
              <w:pStyle w:val="Tablebodytext"/>
              <w:rPr>
                <w:lang w:val="en-AU"/>
              </w:rPr>
            </w:pPr>
            <w:r>
              <w:rPr>
                <w:lang w:val="en-AU"/>
              </w:rPr>
              <w:t>Q8</w:t>
            </w:r>
          </w:p>
        </w:tc>
        <w:tc>
          <w:tcPr>
            <w:tcW w:w="3827" w:type="dxa"/>
            <w:tcBorders>
              <w:left w:val="nil"/>
            </w:tcBorders>
            <w:shd w:val="clear" w:color="auto" w:fill="AACACE"/>
            <w:vAlign w:val="center"/>
          </w:tcPr>
          <w:p w:rsidR="0029089D" w:rsidRPr="000E5C60" w:rsidRDefault="0029089D" w:rsidP="0048675C">
            <w:pPr>
              <w:pStyle w:val="Tablebodytext"/>
              <w:rPr>
                <w:lang w:val="en-AU"/>
              </w:rPr>
            </w:pPr>
            <w:r w:rsidRPr="000E5C60">
              <w:rPr>
                <w:lang w:val="en-AU"/>
              </w:rPr>
              <w:t xml:space="preserve">Further, it is likely that the cost of monitoring would be offset by the savings gained from finding any instances of gas consumption at the monitored ICPs, which can then be prevented through disconnection or used to identify potential new customers.  In other words, without the proposed change, any UFG caused by vacant and inactive ICPs of the insolvent retailer will be allocated to remaining retailers at the affected gas gate in proportion to their customer load.  With the proposed change, gas consumption at those ICPs will be identified and prevented, providing a benefit to all retailers at the gate at the expense of minor monitoring costs. Accordingly, Gas Industry Co concludes that this changes does not adversely affect retailers in a substantial way. Do you agree with the proposed amendments to the Switching Rules? </w:t>
            </w:r>
          </w:p>
        </w:tc>
        <w:tc>
          <w:tcPr>
            <w:tcW w:w="8251" w:type="dxa"/>
            <w:vAlign w:val="center"/>
          </w:tcPr>
          <w:p w:rsidR="0029089D" w:rsidRDefault="0029089D" w:rsidP="0048675C">
            <w:pPr>
              <w:pStyle w:val="Tablebodytext"/>
            </w:pPr>
          </w:p>
        </w:tc>
      </w:tr>
      <w:tr w:rsidR="0029089D" w:rsidTr="0048675C">
        <w:trPr>
          <w:cantSplit/>
          <w:trHeight w:val="854"/>
        </w:trPr>
        <w:tc>
          <w:tcPr>
            <w:tcW w:w="709" w:type="dxa"/>
            <w:tcBorders>
              <w:right w:val="nil"/>
            </w:tcBorders>
            <w:shd w:val="clear" w:color="auto" w:fill="AACACE"/>
            <w:vAlign w:val="center"/>
          </w:tcPr>
          <w:p w:rsidR="0029089D" w:rsidRDefault="0029089D" w:rsidP="0048675C">
            <w:pPr>
              <w:pStyle w:val="Tablebodytext"/>
              <w:rPr>
                <w:lang w:val="en-AU"/>
              </w:rPr>
            </w:pPr>
            <w:r>
              <w:rPr>
                <w:lang w:val="en-AU"/>
              </w:rPr>
              <w:t>Q9</w:t>
            </w:r>
          </w:p>
        </w:tc>
        <w:tc>
          <w:tcPr>
            <w:tcW w:w="3827" w:type="dxa"/>
            <w:tcBorders>
              <w:left w:val="nil"/>
            </w:tcBorders>
            <w:shd w:val="clear" w:color="auto" w:fill="AACACE"/>
            <w:vAlign w:val="center"/>
          </w:tcPr>
          <w:p w:rsidR="0029089D" w:rsidRPr="000E5C60" w:rsidRDefault="0029089D" w:rsidP="0048675C">
            <w:pPr>
              <w:pStyle w:val="Tablebodytext"/>
              <w:rPr>
                <w:lang w:val="en-AU"/>
              </w:rPr>
            </w:pPr>
            <w:r w:rsidRPr="000E5C60">
              <w:rPr>
                <w:lang w:val="en-AU"/>
              </w:rPr>
              <w:t>Do you agree that the proposed change is minor and does not adversely affect the interests of any person in a substantial way? If not, please describe the substantial adverse effect.</w:t>
            </w:r>
          </w:p>
        </w:tc>
        <w:tc>
          <w:tcPr>
            <w:tcW w:w="8251" w:type="dxa"/>
            <w:vAlign w:val="center"/>
          </w:tcPr>
          <w:p w:rsidR="0029089D" w:rsidRDefault="0029089D" w:rsidP="0048675C">
            <w:pPr>
              <w:pStyle w:val="Tablebodytext"/>
            </w:pPr>
          </w:p>
        </w:tc>
      </w:tr>
      <w:tr w:rsidR="0029089D" w:rsidTr="0048675C">
        <w:trPr>
          <w:cantSplit/>
          <w:trHeight w:val="854"/>
        </w:trPr>
        <w:tc>
          <w:tcPr>
            <w:tcW w:w="709" w:type="dxa"/>
            <w:tcBorders>
              <w:right w:val="nil"/>
            </w:tcBorders>
            <w:shd w:val="clear" w:color="auto" w:fill="AACACE"/>
            <w:vAlign w:val="center"/>
          </w:tcPr>
          <w:p w:rsidR="0029089D" w:rsidRDefault="0029089D" w:rsidP="0048675C">
            <w:pPr>
              <w:pStyle w:val="Tablebodytext"/>
              <w:rPr>
                <w:lang w:val="en-AU"/>
              </w:rPr>
            </w:pPr>
            <w:r>
              <w:rPr>
                <w:lang w:val="en-AU"/>
              </w:rPr>
              <w:lastRenderedPageBreak/>
              <w:t>Q10</w:t>
            </w:r>
          </w:p>
        </w:tc>
        <w:tc>
          <w:tcPr>
            <w:tcW w:w="3827" w:type="dxa"/>
            <w:tcBorders>
              <w:left w:val="nil"/>
            </w:tcBorders>
            <w:shd w:val="clear" w:color="auto" w:fill="AACACE"/>
            <w:vAlign w:val="center"/>
          </w:tcPr>
          <w:p w:rsidR="0029089D" w:rsidRPr="000E5C60" w:rsidRDefault="0029089D" w:rsidP="0048675C">
            <w:pPr>
              <w:pStyle w:val="Tablebodytext"/>
              <w:rPr>
                <w:lang w:val="en-AU"/>
              </w:rPr>
            </w:pPr>
            <w:r w:rsidRPr="000E5C60">
              <w:rPr>
                <w:lang w:val="en-AU"/>
              </w:rPr>
              <w:t>Do you agree with the proposed trigger?</w:t>
            </w:r>
          </w:p>
        </w:tc>
        <w:tc>
          <w:tcPr>
            <w:tcW w:w="8251" w:type="dxa"/>
            <w:vAlign w:val="center"/>
          </w:tcPr>
          <w:p w:rsidR="0029089D" w:rsidRDefault="0029089D" w:rsidP="0048675C">
            <w:pPr>
              <w:pStyle w:val="Tablebodytext"/>
            </w:pPr>
          </w:p>
        </w:tc>
      </w:tr>
      <w:tr w:rsidR="0029089D" w:rsidTr="0048675C">
        <w:trPr>
          <w:cantSplit/>
          <w:trHeight w:val="854"/>
        </w:trPr>
        <w:tc>
          <w:tcPr>
            <w:tcW w:w="709" w:type="dxa"/>
            <w:tcBorders>
              <w:right w:val="nil"/>
            </w:tcBorders>
            <w:shd w:val="clear" w:color="auto" w:fill="AACACE"/>
            <w:vAlign w:val="center"/>
          </w:tcPr>
          <w:p w:rsidR="0029089D" w:rsidRDefault="0029089D" w:rsidP="0048675C">
            <w:pPr>
              <w:pStyle w:val="Tablebodytext"/>
              <w:rPr>
                <w:lang w:val="en-AU"/>
              </w:rPr>
            </w:pPr>
            <w:r>
              <w:rPr>
                <w:lang w:val="en-AU"/>
              </w:rPr>
              <w:t>Q11</w:t>
            </w:r>
          </w:p>
        </w:tc>
        <w:tc>
          <w:tcPr>
            <w:tcW w:w="3827" w:type="dxa"/>
            <w:tcBorders>
              <w:left w:val="nil"/>
            </w:tcBorders>
            <w:shd w:val="clear" w:color="auto" w:fill="AACACE"/>
            <w:vAlign w:val="center"/>
          </w:tcPr>
          <w:p w:rsidR="0029089D" w:rsidRPr="000E5C60" w:rsidRDefault="0029089D" w:rsidP="0048675C">
            <w:pPr>
              <w:pStyle w:val="Tablebodytext"/>
              <w:rPr>
                <w:lang w:val="en-AU"/>
              </w:rPr>
            </w:pPr>
            <w:r w:rsidRPr="000E5C60">
              <w:rPr>
                <w:lang w:val="en-AU"/>
              </w:rPr>
              <w:t>Do you agree with the proposed approach of transferring orphan consumers on an ICP-by-ICP basis?  If not, what alternative would you suggest that takes into account the need to transfer customers quickly and the limited resources at Gas Industry Co’s disposal?</w:t>
            </w:r>
          </w:p>
        </w:tc>
        <w:tc>
          <w:tcPr>
            <w:tcW w:w="8251" w:type="dxa"/>
            <w:vAlign w:val="center"/>
          </w:tcPr>
          <w:p w:rsidR="0029089D" w:rsidRDefault="0029089D" w:rsidP="0048675C">
            <w:pPr>
              <w:pStyle w:val="Tablebodytext"/>
            </w:pPr>
          </w:p>
        </w:tc>
      </w:tr>
      <w:tr w:rsidR="0029089D" w:rsidTr="0048675C">
        <w:trPr>
          <w:cantSplit/>
          <w:trHeight w:val="854"/>
        </w:trPr>
        <w:tc>
          <w:tcPr>
            <w:tcW w:w="709" w:type="dxa"/>
            <w:tcBorders>
              <w:right w:val="nil"/>
            </w:tcBorders>
            <w:shd w:val="clear" w:color="auto" w:fill="AACACE"/>
            <w:vAlign w:val="center"/>
          </w:tcPr>
          <w:p w:rsidR="0029089D" w:rsidRDefault="0029089D" w:rsidP="0048675C">
            <w:pPr>
              <w:pStyle w:val="Tablebodytext"/>
              <w:rPr>
                <w:lang w:val="en-AU"/>
              </w:rPr>
            </w:pPr>
            <w:r>
              <w:rPr>
                <w:lang w:val="en-AU"/>
              </w:rPr>
              <w:t>Q12</w:t>
            </w:r>
          </w:p>
        </w:tc>
        <w:tc>
          <w:tcPr>
            <w:tcW w:w="3827" w:type="dxa"/>
            <w:tcBorders>
              <w:left w:val="nil"/>
            </w:tcBorders>
            <w:shd w:val="clear" w:color="auto" w:fill="AACACE"/>
            <w:vAlign w:val="center"/>
          </w:tcPr>
          <w:p w:rsidR="0029089D" w:rsidRPr="000E5C60" w:rsidRDefault="0029089D" w:rsidP="0048675C">
            <w:pPr>
              <w:pStyle w:val="Tablebodytext"/>
              <w:rPr>
                <w:lang w:val="en-AU"/>
              </w:rPr>
            </w:pPr>
            <w:r w:rsidRPr="000E5C60">
              <w:rPr>
                <w:lang w:val="en-AU"/>
              </w:rPr>
              <w:t xml:space="preserve">Should a de minimus threshold (of eg 5% or 10%) apply to recipient retailers? If yes, do you agree with the proposed separate approaches to allocation group 1-3 and allocation group 4-6 customers? </w:t>
            </w:r>
          </w:p>
        </w:tc>
        <w:tc>
          <w:tcPr>
            <w:tcW w:w="8251" w:type="dxa"/>
            <w:vAlign w:val="center"/>
          </w:tcPr>
          <w:p w:rsidR="0029089D" w:rsidRDefault="0029089D" w:rsidP="0048675C">
            <w:pPr>
              <w:pStyle w:val="Tablebodytext"/>
            </w:pPr>
          </w:p>
        </w:tc>
      </w:tr>
      <w:tr w:rsidR="0029089D" w:rsidTr="0048675C">
        <w:trPr>
          <w:cantSplit/>
          <w:trHeight w:val="854"/>
        </w:trPr>
        <w:tc>
          <w:tcPr>
            <w:tcW w:w="709" w:type="dxa"/>
            <w:tcBorders>
              <w:right w:val="nil"/>
            </w:tcBorders>
            <w:shd w:val="clear" w:color="auto" w:fill="AACACE"/>
            <w:vAlign w:val="center"/>
          </w:tcPr>
          <w:p w:rsidR="0029089D" w:rsidRDefault="0029089D" w:rsidP="0048675C">
            <w:pPr>
              <w:pStyle w:val="Tablebodytext"/>
              <w:rPr>
                <w:lang w:val="en-AU"/>
              </w:rPr>
            </w:pPr>
            <w:r>
              <w:rPr>
                <w:lang w:val="en-AU"/>
              </w:rPr>
              <w:t>Q13</w:t>
            </w:r>
          </w:p>
        </w:tc>
        <w:tc>
          <w:tcPr>
            <w:tcW w:w="3827" w:type="dxa"/>
            <w:tcBorders>
              <w:left w:val="nil"/>
            </w:tcBorders>
            <w:shd w:val="clear" w:color="auto" w:fill="AACACE"/>
            <w:vAlign w:val="center"/>
          </w:tcPr>
          <w:p w:rsidR="0029089D" w:rsidRPr="000E5C60" w:rsidRDefault="0029089D" w:rsidP="0048675C">
            <w:pPr>
              <w:pStyle w:val="Tablebodytext"/>
              <w:rPr>
                <w:lang w:val="en-AU"/>
              </w:rPr>
            </w:pPr>
            <w:r w:rsidRPr="000E5C60">
              <w:rPr>
                <w:lang w:val="en-AU"/>
              </w:rPr>
              <w:t>If not, do you prefer the option where all retailers are included, but those with less than 5% market share (by customers and volume)) can opt out?</w:t>
            </w:r>
          </w:p>
        </w:tc>
        <w:tc>
          <w:tcPr>
            <w:tcW w:w="8251" w:type="dxa"/>
            <w:vAlign w:val="center"/>
          </w:tcPr>
          <w:p w:rsidR="0029089D" w:rsidRDefault="0029089D" w:rsidP="0048675C">
            <w:pPr>
              <w:pStyle w:val="Tablebodytext"/>
            </w:pPr>
          </w:p>
        </w:tc>
      </w:tr>
      <w:tr w:rsidR="0029089D" w:rsidTr="0048675C">
        <w:trPr>
          <w:cantSplit/>
          <w:trHeight w:val="854"/>
        </w:trPr>
        <w:tc>
          <w:tcPr>
            <w:tcW w:w="709" w:type="dxa"/>
            <w:tcBorders>
              <w:right w:val="nil"/>
            </w:tcBorders>
            <w:shd w:val="clear" w:color="auto" w:fill="AACACE"/>
            <w:vAlign w:val="center"/>
          </w:tcPr>
          <w:p w:rsidR="0029089D" w:rsidRDefault="0029089D" w:rsidP="0048675C">
            <w:pPr>
              <w:pStyle w:val="Tablebodytext"/>
              <w:rPr>
                <w:lang w:val="en-AU"/>
              </w:rPr>
            </w:pPr>
            <w:r>
              <w:rPr>
                <w:lang w:val="en-AU"/>
              </w:rPr>
              <w:t>Q14</w:t>
            </w:r>
          </w:p>
        </w:tc>
        <w:tc>
          <w:tcPr>
            <w:tcW w:w="3827" w:type="dxa"/>
            <w:tcBorders>
              <w:left w:val="nil"/>
            </w:tcBorders>
            <w:shd w:val="clear" w:color="auto" w:fill="AACACE"/>
            <w:vAlign w:val="center"/>
          </w:tcPr>
          <w:p w:rsidR="0029089D" w:rsidRPr="000E5C60" w:rsidRDefault="0029089D" w:rsidP="0048675C">
            <w:pPr>
              <w:pStyle w:val="Tablebodytext"/>
              <w:rPr>
                <w:lang w:val="en-AU"/>
              </w:rPr>
            </w:pPr>
            <w:r w:rsidRPr="000E5C60">
              <w:rPr>
                <w:lang w:val="en-AU"/>
              </w:rPr>
              <w:t>Do you have any views on the proposed ICP allocation methodology?</w:t>
            </w:r>
          </w:p>
        </w:tc>
        <w:tc>
          <w:tcPr>
            <w:tcW w:w="8251" w:type="dxa"/>
            <w:vAlign w:val="center"/>
          </w:tcPr>
          <w:p w:rsidR="0029089D" w:rsidRDefault="0029089D" w:rsidP="0048675C">
            <w:pPr>
              <w:pStyle w:val="Tablebodytext"/>
            </w:pPr>
          </w:p>
        </w:tc>
      </w:tr>
      <w:tr w:rsidR="0029089D" w:rsidTr="0048675C">
        <w:trPr>
          <w:cantSplit/>
          <w:trHeight w:val="854"/>
        </w:trPr>
        <w:tc>
          <w:tcPr>
            <w:tcW w:w="709" w:type="dxa"/>
            <w:tcBorders>
              <w:right w:val="nil"/>
            </w:tcBorders>
            <w:shd w:val="clear" w:color="auto" w:fill="AACACE"/>
            <w:vAlign w:val="center"/>
          </w:tcPr>
          <w:p w:rsidR="0029089D" w:rsidRDefault="0029089D" w:rsidP="0048675C">
            <w:pPr>
              <w:pStyle w:val="Tablebodytext"/>
              <w:rPr>
                <w:lang w:val="en-AU"/>
              </w:rPr>
            </w:pPr>
            <w:r>
              <w:rPr>
                <w:lang w:val="en-AU"/>
              </w:rPr>
              <w:t>Q15</w:t>
            </w:r>
          </w:p>
        </w:tc>
        <w:tc>
          <w:tcPr>
            <w:tcW w:w="3827" w:type="dxa"/>
            <w:tcBorders>
              <w:left w:val="nil"/>
            </w:tcBorders>
            <w:shd w:val="clear" w:color="auto" w:fill="AACACE"/>
            <w:vAlign w:val="center"/>
          </w:tcPr>
          <w:p w:rsidR="0029089D" w:rsidRPr="000E5C60" w:rsidRDefault="0029089D" w:rsidP="0048675C">
            <w:pPr>
              <w:pStyle w:val="Tablebodytext"/>
              <w:rPr>
                <w:lang w:val="en-AU"/>
              </w:rPr>
            </w:pPr>
            <w:r w:rsidRPr="000E5C60">
              <w:rPr>
                <w:lang w:val="en-AU"/>
              </w:rPr>
              <w:t>Do you agree with this approach?  Why or why not?</w:t>
            </w:r>
          </w:p>
        </w:tc>
        <w:tc>
          <w:tcPr>
            <w:tcW w:w="8251" w:type="dxa"/>
            <w:vAlign w:val="center"/>
          </w:tcPr>
          <w:p w:rsidR="0029089D" w:rsidRDefault="0029089D" w:rsidP="0048675C">
            <w:pPr>
              <w:pStyle w:val="Tablebodytext"/>
            </w:pPr>
          </w:p>
        </w:tc>
      </w:tr>
      <w:tr w:rsidR="0029089D" w:rsidTr="0048675C">
        <w:trPr>
          <w:cantSplit/>
          <w:trHeight w:val="854"/>
        </w:trPr>
        <w:tc>
          <w:tcPr>
            <w:tcW w:w="709" w:type="dxa"/>
            <w:tcBorders>
              <w:right w:val="nil"/>
            </w:tcBorders>
            <w:shd w:val="clear" w:color="auto" w:fill="AACACE"/>
            <w:vAlign w:val="center"/>
          </w:tcPr>
          <w:p w:rsidR="0029089D" w:rsidRDefault="0029089D" w:rsidP="0048675C">
            <w:pPr>
              <w:pStyle w:val="Tablebodytext"/>
              <w:rPr>
                <w:lang w:val="en-AU"/>
              </w:rPr>
            </w:pPr>
            <w:r>
              <w:rPr>
                <w:lang w:val="en-AU"/>
              </w:rPr>
              <w:t>Q16</w:t>
            </w:r>
          </w:p>
        </w:tc>
        <w:tc>
          <w:tcPr>
            <w:tcW w:w="3827" w:type="dxa"/>
            <w:tcBorders>
              <w:left w:val="nil"/>
            </w:tcBorders>
            <w:shd w:val="clear" w:color="auto" w:fill="AACACE"/>
            <w:vAlign w:val="center"/>
          </w:tcPr>
          <w:p w:rsidR="0029089D" w:rsidRPr="000E5C60" w:rsidRDefault="0029089D" w:rsidP="0048675C">
            <w:pPr>
              <w:pStyle w:val="Tablebodytext"/>
              <w:rPr>
                <w:lang w:val="en-AU"/>
              </w:rPr>
            </w:pPr>
            <w:r w:rsidRPr="000E5C60">
              <w:rPr>
                <w:lang w:val="en-AU"/>
              </w:rPr>
              <w:t xml:space="preserve">Do you agree that this is a </w:t>
            </w:r>
            <w:r>
              <w:rPr>
                <w:lang w:val="en-AU"/>
              </w:rPr>
              <w:t>r</w:t>
            </w:r>
            <w:r w:rsidRPr="000E5C60">
              <w:rPr>
                <w:lang w:val="en-AU"/>
              </w:rPr>
              <w:t>easonable approach to the transfer of large consumers?  If not, what alternative would you suggest?</w:t>
            </w:r>
          </w:p>
        </w:tc>
        <w:tc>
          <w:tcPr>
            <w:tcW w:w="8251" w:type="dxa"/>
            <w:vAlign w:val="center"/>
          </w:tcPr>
          <w:p w:rsidR="0029089D" w:rsidRDefault="0029089D" w:rsidP="0048675C">
            <w:pPr>
              <w:pStyle w:val="Tablebodytext"/>
            </w:pPr>
          </w:p>
        </w:tc>
      </w:tr>
      <w:tr w:rsidR="0029089D" w:rsidTr="0048675C">
        <w:trPr>
          <w:cantSplit/>
          <w:trHeight w:val="854"/>
        </w:trPr>
        <w:tc>
          <w:tcPr>
            <w:tcW w:w="709" w:type="dxa"/>
            <w:tcBorders>
              <w:right w:val="nil"/>
            </w:tcBorders>
            <w:shd w:val="clear" w:color="auto" w:fill="AACACE"/>
            <w:vAlign w:val="center"/>
          </w:tcPr>
          <w:p w:rsidR="0029089D" w:rsidRDefault="0029089D" w:rsidP="0048675C">
            <w:pPr>
              <w:pStyle w:val="Tablebodytext"/>
              <w:rPr>
                <w:lang w:val="en-AU"/>
              </w:rPr>
            </w:pPr>
            <w:r>
              <w:rPr>
                <w:lang w:val="en-AU"/>
              </w:rPr>
              <w:lastRenderedPageBreak/>
              <w:t>Q17</w:t>
            </w:r>
          </w:p>
        </w:tc>
        <w:tc>
          <w:tcPr>
            <w:tcW w:w="3827" w:type="dxa"/>
            <w:tcBorders>
              <w:left w:val="nil"/>
            </w:tcBorders>
            <w:shd w:val="clear" w:color="auto" w:fill="AACACE"/>
            <w:vAlign w:val="center"/>
          </w:tcPr>
          <w:p w:rsidR="0029089D" w:rsidRPr="000E5C60" w:rsidRDefault="0029089D" w:rsidP="0048675C">
            <w:pPr>
              <w:pStyle w:val="Tablebodytext"/>
              <w:rPr>
                <w:lang w:val="en-AU"/>
              </w:rPr>
            </w:pPr>
            <w:r w:rsidRPr="000E5C60">
              <w:rPr>
                <w:lang w:val="en-AU"/>
              </w:rPr>
              <w:t>Do you have any comments on clauses 8-11 of the proposed Drafting Instructions?</w:t>
            </w:r>
          </w:p>
        </w:tc>
        <w:tc>
          <w:tcPr>
            <w:tcW w:w="8251" w:type="dxa"/>
            <w:vAlign w:val="center"/>
          </w:tcPr>
          <w:p w:rsidR="0029089D" w:rsidRDefault="0029089D" w:rsidP="0048675C">
            <w:pPr>
              <w:pStyle w:val="Tablebodytext"/>
            </w:pPr>
          </w:p>
        </w:tc>
      </w:tr>
      <w:tr w:rsidR="0029089D" w:rsidTr="0048675C">
        <w:trPr>
          <w:cantSplit/>
          <w:trHeight w:val="854"/>
        </w:trPr>
        <w:tc>
          <w:tcPr>
            <w:tcW w:w="709" w:type="dxa"/>
            <w:tcBorders>
              <w:right w:val="nil"/>
            </w:tcBorders>
            <w:shd w:val="clear" w:color="auto" w:fill="AACACE"/>
            <w:vAlign w:val="center"/>
          </w:tcPr>
          <w:p w:rsidR="0029089D" w:rsidRDefault="0029089D" w:rsidP="0048675C">
            <w:pPr>
              <w:pStyle w:val="Tablebodytext"/>
              <w:rPr>
                <w:lang w:val="en-AU"/>
              </w:rPr>
            </w:pPr>
            <w:r>
              <w:rPr>
                <w:lang w:val="en-AU"/>
              </w:rPr>
              <w:t>Q18</w:t>
            </w:r>
          </w:p>
        </w:tc>
        <w:tc>
          <w:tcPr>
            <w:tcW w:w="3827" w:type="dxa"/>
            <w:tcBorders>
              <w:left w:val="nil"/>
            </w:tcBorders>
            <w:shd w:val="clear" w:color="auto" w:fill="AACACE"/>
            <w:vAlign w:val="center"/>
          </w:tcPr>
          <w:p w:rsidR="0029089D" w:rsidRPr="000E5C60" w:rsidRDefault="0029089D" w:rsidP="00896A5A">
            <w:pPr>
              <w:pStyle w:val="Tablebodytext"/>
              <w:rPr>
                <w:lang w:val="en-AU"/>
              </w:rPr>
            </w:pPr>
            <w:r w:rsidRPr="000E5C60">
              <w:rPr>
                <w:lang w:val="en-AU"/>
              </w:rPr>
              <w:t>Do you have any comments on clause</w:t>
            </w:r>
            <w:r w:rsidR="00896A5A">
              <w:rPr>
                <w:lang w:val="en-AU"/>
              </w:rPr>
              <w:t xml:space="preserve"> </w:t>
            </w:r>
            <w:r w:rsidRPr="000E5C60">
              <w:rPr>
                <w:lang w:val="en-AU"/>
              </w:rPr>
              <w:t>1</w:t>
            </w:r>
            <w:r w:rsidR="00896A5A">
              <w:rPr>
                <w:lang w:val="en-AU"/>
              </w:rPr>
              <w:t>2</w:t>
            </w:r>
            <w:r w:rsidRPr="000E5C60">
              <w:rPr>
                <w:lang w:val="en-AU"/>
              </w:rPr>
              <w:t xml:space="preserve"> in the proposed drafting instructions?</w:t>
            </w:r>
          </w:p>
        </w:tc>
        <w:tc>
          <w:tcPr>
            <w:tcW w:w="8251" w:type="dxa"/>
            <w:vAlign w:val="center"/>
          </w:tcPr>
          <w:p w:rsidR="0029089D" w:rsidRDefault="0029089D" w:rsidP="0048675C">
            <w:pPr>
              <w:pStyle w:val="Tablebodytext"/>
            </w:pPr>
          </w:p>
        </w:tc>
      </w:tr>
      <w:tr w:rsidR="0029089D" w:rsidTr="0048675C">
        <w:trPr>
          <w:cantSplit/>
          <w:trHeight w:val="854"/>
        </w:trPr>
        <w:tc>
          <w:tcPr>
            <w:tcW w:w="709" w:type="dxa"/>
            <w:tcBorders>
              <w:right w:val="nil"/>
            </w:tcBorders>
            <w:shd w:val="clear" w:color="auto" w:fill="AACACE"/>
            <w:vAlign w:val="center"/>
          </w:tcPr>
          <w:p w:rsidR="0029089D" w:rsidRDefault="0029089D" w:rsidP="0048675C">
            <w:pPr>
              <w:pStyle w:val="Tablebodytext"/>
              <w:rPr>
                <w:lang w:val="en-AU"/>
              </w:rPr>
            </w:pPr>
            <w:r>
              <w:rPr>
                <w:lang w:val="en-AU"/>
              </w:rPr>
              <w:t>Q19</w:t>
            </w:r>
          </w:p>
        </w:tc>
        <w:tc>
          <w:tcPr>
            <w:tcW w:w="3827" w:type="dxa"/>
            <w:tcBorders>
              <w:left w:val="nil"/>
            </w:tcBorders>
            <w:shd w:val="clear" w:color="auto" w:fill="AACACE"/>
            <w:vAlign w:val="center"/>
          </w:tcPr>
          <w:p w:rsidR="0029089D" w:rsidRPr="000E5C60" w:rsidRDefault="0029089D" w:rsidP="00896A5A">
            <w:pPr>
              <w:pStyle w:val="Tablebodytext"/>
              <w:rPr>
                <w:lang w:val="en-AU"/>
              </w:rPr>
            </w:pPr>
            <w:r w:rsidRPr="000E5C60">
              <w:rPr>
                <w:lang w:val="en-AU"/>
              </w:rPr>
              <w:t>Do you agree with the proposal in clause 1</w:t>
            </w:r>
            <w:r w:rsidR="00896A5A">
              <w:rPr>
                <w:lang w:val="en-AU"/>
              </w:rPr>
              <w:t>3</w:t>
            </w:r>
            <w:bookmarkStart w:id="2" w:name="_GoBack"/>
            <w:bookmarkEnd w:id="2"/>
            <w:r w:rsidRPr="000E5C60">
              <w:rPr>
                <w:lang w:val="en-AU"/>
              </w:rPr>
              <w:t xml:space="preserve"> of the proposed drafting instructions?</w:t>
            </w:r>
          </w:p>
        </w:tc>
        <w:tc>
          <w:tcPr>
            <w:tcW w:w="8251" w:type="dxa"/>
            <w:vAlign w:val="center"/>
          </w:tcPr>
          <w:p w:rsidR="0029089D" w:rsidRDefault="0029089D" w:rsidP="0048675C">
            <w:pPr>
              <w:pStyle w:val="Tablebodytext"/>
            </w:pPr>
          </w:p>
        </w:tc>
      </w:tr>
      <w:tr w:rsidR="0029089D" w:rsidTr="0048675C">
        <w:trPr>
          <w:cantSplit/>
          <w:trHeight w:val="854"/>
        </w:trPr>
        <w:tc>
          <w:tcPr>
            <w:tcW w:w="709" w:type="dxa"/>
            <w:tcBorders>
              <w:right w:val="nil"/>
            </w:tcBorders>
            <w:shd w:val="clear" w:color="auto" w:fill="AACACE"/>
            <w:vAlign w:val="center"/>
          </w:tcPr>
          <w:p w:rsidR="0029089D" w:rsidRDefault="0029089D" w:rsidP="0048675C">
            <w:pPr>
              <w:pStyle w:val="Tablebodytext"/>
              <w:rPr>
                <w:lang w:val="en-AU"/>
              </w:rPr>
            </w:pPr>
            <w:r>
              <w:rPr>
                <w:lang w:val="en-AU"/>
              </w:rPr>
              <w:t>Q20</w:t>
            </w:r>
          </w:p>
        </w:tc>
        <w:tc>
          <w:tcPr>
            <w:tcW w:w="3827" w:type="dxa"/>
            <w:tcBorders>
              <w:left w:val="nil"/>
            </w:tcBorders>
            <w:shd w:val="clear" w:color="auto" w:fill="AACACE"/>
            <w:vAlign w:val="center"/>
          </w:tcPr>
          <w:p w:rsidR="0029089D" w:rsidRPr="000E5C60" w:rsidRDefault="0029089D" w:rsidP="0048675C">
            <w:pPr>
              <w:pStyle w:val="Tablebodytext"/>
              <w:rPr>
                <w:lang w:val="en-AU"/>
              </w:rPr>
            </w:pPr>
            <w:r w:rsidRPr="000E5C60">
              <w:rPr>
                <w:lang w:val="en-AU"/>
              </w:rPr>
              <w:t>Do you agree with this proposal?  Why or why not?</w:t>
            </w:r>
          </w:p>
        </w:tc>
        <w:tc>
          <w:tcPr>
            <w:tcW w:w="8251" w:type="dxa"/>
            <w:vAlign w:val="center"/>
          </w:tcPr>
          <w:p w:rsidR="0029089D" w:rsidRDefault="0029089D" w:rsidP="0048675C">
            <w:pPr>
              <w:pStyle w:val="Tablebodytext"/>
            </w:pPr>
          </w:p>
        </w:tc>
      </w:tr>
      <w:tr w:rsidR="0029089D" w:rsidTr="0048675C">
        <w:trPr>
          <w:cantSplit/>
          <w:trHeight w:val="854"/>
        </w:trPr>
        <w:tc>
          <w:tcPr>
            <w:tcW w:w="709" w:type="dxa"/>
            <w:tcBorders>
              <w:right w:val="nil"/>
            </w:tcBorders>
            <w:shd w:val="clear" w:color="auto" w:fill="AACACE"/>
            <w:vAlign w:val="center"/>
          </w:tcPr>
          <w:p w:rsidR="0029089D" w:rsidRDefault="0029089D" w:rsidP="0048675C">
            <w:pPr>
              <w:pStyle w:val="Tablebodytext"/>
              <w:rPr>
                <w:lang w:val="en-AU"/>
              </w:rPr>
            </w:pPr>
            <w:r>
              <w:rPr>
                <w:lang w:val="en-AU"/>
              </w:rPr>
              <w:t>Q21</w:t>
            </w:r>
          </w:p>
        </w:tc>
        <w:tc>
          <w:tcPr>
            <w:tcW w:w="3827" w:type="dxa"/>
            <w:tcBorders>
              <w:left w:val="nil"/>
            </w:tcBorders>
            <w:shd w:val="clear" w:color="auto" w:fill="AACACE"/>
            <w:vAlign w:val="center"/>
          </w:tcPr>
          <w:p w:rsidR="0029089D" w:rsidRPr="000E5C60" w:rsidRDefault="0029089D" w:rsidP="0048675C">
            <w:pPr>
              <w:pStyle w:val="Tablebodytext"/>
              <w:rPr>
                <w:lang w:val="en-AU"/>
              </w:rPr>
            </w:pPr>
            <w:r w:rsidRPr="000E5C60">
              <w:rPr>
                <w:lang w:val="en-AU"/>
              </w:rPr>
              <w:t>Do you agree that the change is minor and will not adversely affect the interest of any person in a substantial way?</w:t>
            </w:r>
          </w:p>
        </w:tc>
        <w:tc>
          <w:tcPr>
            <w:tcW w:w="8251" w:type="dxa"/>
            <w:vAlign w:val="center"/>
          </w:tcPr>
          <w:p w:rsidR="0029089D" w:rsidRDefault="0029089D" w:rsidP="0048675C">
            <w:pPr>
              <w:pStyle w:val="Tablebodytext"/>
            </w:pPr>
          </w:p>
        </w:tc>
      </w:tr>
    </w:tbl>
    <w:p w:rsidR="0029089D" w:rsidRDefault="0029089D" w:rsidP="0029089D">
      <w:pPr>
        <w:pStyle w:val="BodyText"/>
      </w:pPr>
    </w:p>
    <w:p w:rsidR="0029089D" w:rsidRDefault="0029089D" w:rsidP="0029089D">
      <w:pPr>
        <w:pStyle w:val="BodyText"/>
      </w:pPr>
    </w:p>
    <w:p w:rsidR="006D2F79" w:rsidRDefault="006D2F79"/>
    <w:sectPr w:rsidR="006D2F79" w:rsidSect="0029089D">
      <w:headerReference w:type="even" r:id="rId6"/>
      <w:headerReference w:type="default" r:id="rId7"/>
      <w:footerReference w:type="even" r:id="rId8"/>
      <w:footerReference w:type="default" r:id="rId9"/>
      <w:headerReference w:type="first" r:id="rId10"/>
      <w:footerReference w:type="firs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BA9" w:rsidRDefault="00703BA9">
      <w:r>
        <w:separator/>
      </w:r>
    </w:p>
  </w:endnote>
  <w:endnote w:type="continuationSeparator" w:id="0">
    <w:p w:rsidR="00703BA9" w:rsidRDefault="00703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Frutiger LT 45 Light">
    <w:altName w:val="Corbel"/>
    <w:panose1 w:val="020B0403030504020204"/>
    <w:charset w:val="00"/>
    <w:family w:val="swiss"/>
    <w:pitch w:val="variable"/>
    <w:sig w:usb0="8000002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791" w:rsidRPr="008432E1" w:rsidRDefault="0029089D" w:rsidP="001E6F09">
    <w:pPr>
      <w:pStyle w:val="zFooterEvenPortrait"/>
    </w:pPr>
    <w:r>
      <w:fldChar w:fldCharType="begin"/>
    </w:r>
    <w:r>
      <w:instrText xml:space="preserve"> PAGE </w:instrText>
    </w:r>
    <w:r>
      <w:fldChar w:fldCharType="separate"/>
    </w:r>
    <w:r>
      <w:rPr>
        <w:noProof/>
      </w:rPr>
      <w:t>8</w:t>
    </w:r>
    <w:r>
      <w:rPr>
        <w:noProof/>
      </w:rPr>
      <w:fldChar w:fldCharType="end"/>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791" w:rsidRPr="008432E1" w:rsidRDefault="0029089D" w:rsidP="001E6F09">
    <w:pPr>
      <w:pStyle w:val="zFooterOddPortrait"/>
    </w:pPr>
    <w:r>
      <w:tab/>
    </w:r>
    <w:r>
      <w:fldChar w:fldCharType="begin"/>
    </w:r>
    <w:r>
      <w:instrText xml:space="preserve"> PAGE </w:instrText>
    </w:r>
    <w:r>
      <w:fldChar w:fldCharType="separate"/>
    </w:r>
    <w:r w:rsidR="00896A5A">
      <w:rPr>
        <w:noProof/>
      </w:rPr>
      <w:t>2</w:t>
    </w:r>
    <w:r>
      <w:rPr>
        <w:noProof/>
      </w:rPr>
      <w:fldChar w:fldCharType="end"/>
    </w:r>
  </w:p>
  <w:p w:rsidR="00C11791" w:rsidRPr="008432E1" w:rsidRDefault="0029089D" w:rsidP="001E6F09">
    <w:pPr>
      <w:pStyle w:val="zFooterOddPortrai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791" w:rsidRDefault="00703BA9" w:rsidP="001E6F09">
    <w:pPr>
      <w:pStyle w:val="zFooterOddPortrait"/>
    </w:pPr>
  </w:p>
  <w:p w:rsidR="00C11791" w:rsidRDefault="0029089D" w:rsidP="001E6F09">
    <w:pPr>
      <w:pStyle w:val="zFooterOddPortrai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BA9" w:rsidRDefault="00703BA9">
      <w:r>
        <w:separator/>
      </w:r>
    </w:p>
  </w:footnote>
  <w:footnote w:type="continuationSeparator" w:id="0">
    <w:p w:rsidR="00703BA9" w:rsidRDefault="00703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791" w:rsidRDefault="00703BA9">
    <w:pPr>
      <w:pStyle w:val="zHeaderEven"/>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791" w:rsidRDefault="00703BA9">
    <w:pPr>
      <w:pStyle w:val="zHeaderOd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791" w:rsidRDefault="0029089D">
    <w:pPr>
      <w:pStyle w:val="zHeaderOdd"/>
    </w:pPr>
    <w:r>
      <w:rPr>
        <w:noProof/>
        <w:sz w:val="22"/>
        <w:lang w:eastAsia="en-NZ"/>
      </w:rPr>
      <mc:AlternateContent>
        <mc:Choice Requires="wps">
          <w:drawing>
            <wp:anchor distT="0" distB="0" distL="114300" distR="114300" simplePos="0" relativeHeight="251659264" behindDoc="1" locked="0" layoutInCell="1" allowOverlap="1" wp14:anchorId="3929A079" wp14:editId="0CFE12F5">
              <wp:simplePos x="0" y="0"/>
              <wp:positionH relativeFrom="page">
                <wp:align>center</wp:align>
              </wp:positionH>
              <wp:positionV relativeFrom="page">
                <wp:align>center</wp:align>
              </wp:positionV>
              <wp:extent cx="4663440" cy="3108960"/>
              <wp:effectExtent l="0" t="0" r="0" b="0"/>
              <wp:wrapNone/>
              <wp:docPr id="4"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63440" cy="310896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C11791" w:rsidRDefault="0029089D" w:rsidP="0014791E">
                          <w:pPr>
                            <w:pStyle w:val="NormalWeb"/>
                            <w:spacing w:before="0" w:beforeAutospacing="0" w:after="0" w:afterAutospacing="0"/>
                            <w:jc w:val="center"/>
                          </w:pPr>
                          <w:r>
                            <w:rPr>
                              <w:rFonts w:ascii="Arial Black" w:hAnsi="Arial Black"/>
                              <w:color w:val="C0C0C0"/>
                              <w:sz w:val="72"/>
                              <w:szCs w:val="72"/>
                            </w:rPr>
                            <w:t>Draft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3929A079" id="_x0000_t202" coordsize="21600,21600" o:spt="202" path="m,l,21600r21600,l21600,xe">
              <v:stroke joinstyle="miter"/>
              <v:path gradientshapeok="t" o:connecttype="rect"/>
            </v:shapetype>
            <v:shape id="WordArt 18" o:spid="_x0000_s1026" type="#_x0000_t202" style="position:absolute;left:0;text-align:left;margin-left:0;margin-top:0;width:367.2pt;height:244.8pt;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" filled="f" stroked="f">
              <v:stroke joinstyle="round"/>
              <o:lock v:ext="edit" shapetype="t"/>
              <v:textbox style="mso-fit-shape-to-text:t">
                <w:txbxContent>
                  <w:p w:rsidR="00C11791" w:rsidRDefault="0029089D" w:rsidP="0014791E">
                    <w:pPr>
                      <w:pStyle w:val="NormalWeb"/>
                      <w:spacing w:before="0" w:beforeAutospacing="0" w:after="0" w:afterAutospacing="0"/>
                      <w:jc w:val="center"/>
                    </w:pPr>
                    <w:r>
                      <w:rPr>
                        <w:rFonts w:ascii="Arial Black" w:hAnsi="Arial Black"/>
                        <w:color w:val="C0C0C0"/>
                        <w:sz w:val="72"/>
                        <w:szCs w:val="72"/>
                      </w:rPr>
                      <w:t>Draft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89D"/>
    <w:rsid w:val="0029089D"/>
    <w:rsid w:val="006D2F79"/>
    <w:rsid w:val="00703BA9"/>
    <w:rsid w:val="00896A5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ACF1C0-3728-4EC4-AA69-1191D01A6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2"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4"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29089D"/>
    <w:pPr>
      <w:spacing w:after="0" w:line="240" w:lineRule="auto"/>
    </w:pPr>
    <w:rPr>
      <w:rFonts w:ascii="Frutiger LT 45 Light" w:eastAsia="Times New Roman" w:hAnsi="Frutiger LT 45 Light" w:cs="Times New Roman"/>
      <w:szCs w:val="20"/>
      <w:lang w:eastAsia="en-GB"/>
    </w:rPr>
  </w:style>
  <w:style w:type="paragraph" w:styleId="Heading1">
    <w:name w:val="heading 1"/>
    <w:basedOn w:val="BodyText"/>
    <w:next w:val="BodyText"/>
    <w:link w:val="Heading1Char"/>
    <w:qFormat/>
    <w:rsid w:val="0029089D"/>
    <w:pPr>
      <w:keepNext/>
      <w:pBdr>
        <w:bottom w:val="single" w:sz="8" w:space="5" w:color="auto"/>
      </w:pBdr>
      <w:spacing w:before="240" w:after="60" w:line="400" w:lineRule="atLeast"/>
      <w:outlineLvl w:val="0"/>
    </w:pPr>
    <w:rPr>
      <w:rFonts w:cs="Arial"/>
      <w:b/>
      <w:bCs/>
      <w:color w:val="333333"/>
      <w:kern w:val="32"/>
      <w:sz w:val="4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089D"/>
    <w:rPr>
      <w:rFonts w:ascii="Frutiger LT 45 Light" w:eastAsia="Times New Roman" w:hAnsi="Frutiger LT 45 Light" w:cs="Arial"/>
      <w:b/>
      <w:bCs/>
      <w:color w:val="333333"/>
      <w:kern w:val="32"/>
      <w:sz w:val="48"/>
      <w:lang w:eastAsia="en-GB"/>
    </w:rPr>
  </w:style>
  <w:style w:type="paragraph" w:styleId="BodyText">
    <w:name w:val="Body Text"/>
    <w:basedOn w:val="Normal"/>
    <w:link w:val="BodyTextChar"/>
    <w:qFormat/>
    <w:rsid w:val="0029089D"/>
    <w:pPr>
      <w:spacing w:after="240" w:line="320" w:lineRule="atLeast"/>
    </w:pPr>
  </w:style>
  <w:style w:type="character" w:customStyle="1" w:styleId="BodyTextChar">
    <w:name w:val="Body Text Char"/>
    <w:basedOn w:val="DefaultParagraphFont"/>
    <w:link w:val="BodyText"/>
    <w:rsid w:val="0029089D"/>
    <w:rPr>
      <w:rFonts w:ascii="Frutiger LT 45 Light" w:eastAsia="Times New Roman" w:hAnsi="Frutiger LT 45 Light" w:cs="Times New Roman"/>
      <w:szCs w:val="20"/>
      <w:lang w:eastAsia="en-GB"/>
    </w:rPr>
  </w:style>
  <w:style w:type="paragraph" w:customStyle="1" w:styleId="zHeaderEven">
    <w:name w:val="z_Header Even"/>
    <w:basedOn w:val="zHeaderOdd"/>
    <w:uiPriority w:val="14"/>
    <w:semiHidden/>
    <w:rsid w:val="0029089D"/>
    <w:pPr>
      <w:jc w:val="left"/>
    </w:pPr>
  </w:style>
  <w:style w:type="paragraph" w:customStyle="1" w:styleId="zHeaderOdd">
    <w:name w:val="z_Header Odd"/>
    <w:basedOn w:val="BodyText"/>
    <w:next w:val="BodyText"/>
    <w:uiPriority w:val="14"/>
    <w:semiHidden/>
    <w:rsid w:val="0029089D"/>
    <w:pPr>
      <w:spacing w:after="0" w:line="240" w:lineRule="auto"/>
      <w:jc w:val="right"/>
    </w:pPr>
    <w:rPr>
      <w:sz w:val="16"/>
      <w:lang w:eastAsia="en-US"/>
    </w:rPr>
  </w:style>
  <w:style w:type="paragraph" w:customStyle="1" w:styleId="zFooterEvenPortrait">
    <w:name w:val="z_Footer Even Portrait"/>
    <w:basedOn w:val="zFooterOddPortrait"/>
    <w:uiPriority w:val="14"/>
    <w:semiHidden/>
    <w:rsid w:val="0029089D"/>
  </w:style>
  <w:style w:type="paragraph" w:customStyle="1" w:styleId="zFooterOddPortrait">
    <w:name w:val="z_Footer Odd Portrait"/>
    <w:basedOn w:val="BodyText"/>
    <w:next w:val="BodyText"/>
    <w:uiPriority w:val="14"/>
    <w:semiHidden/>
    <w:rsid w:val="0029089D"/>
    <w:pPr>
      <w:tabs>
        <w:tab w:val="right" w:pos="9639"/>
      </w:tabs>
      <w:spacing w:after="0" w:line="240" w:lineRule="auto"/>
    </w:pPr>
    <w:rPr>
      <w:szCs w:val="22"/>
      <w:lang w:eastAsia="en-US"/>
    </w:rPr>
  </w:style>
  <w:style w:type="character" w:styleId="PageNumber">
    <w:name w:val="page number"/>
    <w:basedOn w:val="DefaultParagraphFont"/>
    <w:uiPriority w:val="14"/>
    <w:rsid w:val="0029089D"/>
    <w:rPr>
      <w:rFonts w:ascii="Frutiger LT 45 Light" w:hAnsi="Frutiger LT 45 Light"/>
      <w:sz w:val="22"/>
    </w:rPr>
  </w:style>
  <w:style w:type="paragraph" w:customStyle="1" w:styleId="Tablebodytext">
    <w:name w:val="Table body text"/>
    <w:basedOn w:val="BodyText"/>
    <w:link w:val="TablebodytextChar"/>
    <w:rsid w:val="0029089D"/>
    <w:pPr>
      <w:spacing w:before="60" w:after="60" w:line="240" w:lineRule="atLeast"/>
    </w:pPr>
    <w:rPr>
      <w:sz w:val="20"/>
    </w:rPr>
  </w:style>
  <w:style w:type="paragraph" w:customStyle="1" w:styleId="Tableheading">
    <w:name w:val="Table heading"/>
    <w:basedOn w:val="BodyText"/>
    <w:link w:val="TableheadingChar"/>
    <w:rsid w:val="0029089D"/>
    <w:pPr>
      <w:keepNext/>
      <w:spacing w:before="120" w:after="120" w:line="240" w:lineRule="auto"/>
    </w:pPr>
    <w:rPr>
      <w:b/>
      <w:sz w:val="18"/>
    </w:rPr>
  </w:style>
  <w:style w:type="paragraph" w:styleId="NormalWeb">
    <w:name w:val="Normal (Web)"/>
    <w:basedOn w:val="Normal"/>
    <w:uiPriority w:val="99"/>
    <w:semiHidden/>
    <w:unhideWhenUsed/>
    <w:rsid w:val="0029089D"/>
    <w:pPr>
      <w:spacing w:before="100" w:beforeAutospacing="1" w:after="100" w:afterAutospacing="1"/>
    </w:pPr>
    <w:rPr>
      <w:rFonts w:ascii="Times New Roman" w:eastAsiaTheme="minorEastAsia" w:hAnsi="Times New Roman"/>
      <w:sz w:val="24"/>
      <w:szCs w:val="24"/>
      <w:lang w:eastAsia="en-NZ"/>
    </w:rPr>
  </w:style>
  <w:style w:type="character" w:customStyle="1" w:styleId="TableheadingChar">
    <w:name w:val="Table heading Char"/>
    <w:basedOn w:val="BodyTextChar"/>
    <w:link w:val="Tableheading"/>
    <w:rsid w:val="0029089D"/>
    <w:rPr>
      <w:rFonts w:ascii="Frutiger LT 45 Light" w:eastAsia="Times New Roman" w:hAnsi="Frutiger LT 45 Light" w:cs="Times New Roman"/>
      <w:b/>
      <w:sz w:val="18"/>
      <w:szCs w:val="20"/>
      <w:lang w:eastAsia="en-GB"/>
    </w:rPr>
  </w:style>
  <w:style w:type="character" w:customStyle="1" w:styleId="TablebodytextChar">
    <w:name w:val="Table body text Char"/>
    <w:basedOn w:val="BodyTextChar"/>
    <w:link w:val="Tablebodytext"/>
    <w:rsid w:val="0029089D"/>
    <w:rPr>
      <w:rFonts w:ascii="Frutiger LT 45 Light" w:eastAsia="Times New Roman" w:hAnsi="Frutiger LT 45 Light"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529</Words>
  <Characters>3016</Characters>
  <Application>Microsoft Office Word</Application>
  <DocSecurity>0</DocSecurity>
  <Lines>25</Lines>
  <Paragraphs>7</Paragraphs>
  <ScaleCrop>false</ScaleCrop>
  <Company/>
  <LinksUpToDate>false</LinksUpToDate>
  <CharactersWithSpaces>3538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Herbert</dc:creator>
  <cp:keywords/>
  <dc:description/>
  <cp:lastModifiedBy>Tim Herbert</cp:lastModifiedBy>
  <cp:revision>2</cp:revision>
  <dcterms:created xsi:type="dcterms:W3CDTF">2014-10-14T20:21:00Z</dcterms:created>
  <dcterms:modified xsi:type="dcterms:W3CDTF">2014-10-21T23:13:00Z</dcterms:modified>
</cp:coreProperties>
</file>