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9BBD0" w14:textId="77777777" w:rsidR="00D3022A" w:rsidRPr="00DF3FEA" w:rsidRDefault="00D3022A" w:rsidP="0084774A">
      <w:pPr>
        <w:pStyle w:val="Heading2"/>
        <w:spacing w:after="0"/>
        <w:rPr>
          <w:rFonts w:ascii="Tahoma" w:hAnsi="Tahoma" w:cs="Tahoma"/>
        </w:rPr>
      </w:pPr>
      <w:r w:rsidRPr="00DF3FEA">
        <w:rPr>
          <w:rFonts w:ascii="Tahoma" w:hAnsi="Tahoma" w:cs="Tahoma"/>
        </w:rPr>
        <w:tab/>
      </w:r>
      <w:r w:rsidRPr="00DF3FEA">
        <w:rPr>
          <w:rFonts w:ascii="Tahoma" w:hAnsi="Tahoma" w:cs="Tahoma"/>
          <w:noProof/>
          <w:lang w:eastAsia="en-NZ"/>
        </w:rPr>
        <w:drawing>
          <wp:anchor distT="0" distB="0" distL="114300" distR="114300" simplePos="0" relativeHeight="251659264" behindDoc="0" locked="0" layoutInCell="1" allowOverlap="1" wp14:anchorId="13FB3EBB" wp14:editId="28A23E83">
            <wp:simplePos x="0" y="0"/>
            <wp:positionH relativeFrom="column">
              <wp:posOffset>4114800</wp:posOffset>
            </wp:positionH>
            <wp:positionV relativeFrom="paragraph">
              <wp:posOffset>-342900</wp:posOffset>
            </wp:positionV>
            <wp:extent cx="1644650" cy="1014730"/>
            <wp:effectExtent l="0" t="0" r="0" b="0"/>
            <wp:wrapSquare wrapText="bothSides"/>
            <wp:docPr id="1" name="Picture 1" descr="GI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C 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650" cy="1014730"/>
                    </a:xfrm>
                    <a:prstGeom prst="rect">
                      <a:avLst/>
                    </a:prstGeom>
                    <a:noFill/>
                    <a:ln>
                      <a:noFill/>
                    </a:ln>
                  </pic:spPr>
                </pic:pic>
              </a:graphicData>
            </a:graphic>
          </wp:anchor>
        </w:drawing>
      </w:r>
    </w:p>
    <w:p w14:paraId="325705DC" w14:textId="43CD499D" w:rsidR="00D3022A" w:rsidRPr="00DF3FEA" w:rsidRDefault="00DD097A" w:rsidP="00115C41">
      <w:pPr>
        <w:pStyle w:val="BodyText"/>
        <w:spacing w:after="200"/>
        <w:rPr>
          <w:rFonts w:ascii="Tahoma" w:hAnsi="Tahoma" w:cs="Tahoma"/>
          <w:b/>
        </w:rPr>
      </w:pPr>
      <w:r>
        <w:rPr>
          <w:rFonts w:ascii="Tahoma" w:hAnsi="Tahoma" w:cs="Tahoma"/>
          <w:b/>
        </w:rPr>
        <w:t>DAWG Meeting #6</w:t>
      </w:r>
    </w:p>
    <w:p w14:paraId="4F88A6F5" w14:textId="465F31EE" w:rsidR="00D3022A" w:rsidRPr="00DF3FEA" w:rsidRDefault="00D3022A" w:rsidP="00115C41">
      <w:pPr>
        <w:pStyle w:val="BodyText"/>
        <w:spacing w:after="200"/>
        <w:rPr>
          <w:rFonts w:ascii="Tahoma" w:hAnsi="Tahoma" w:cs="Tahoma"/>
          <w:b/>
        </w:rPr>
      </w:pPr>
      <w:r w:rsidRPr="00DF3FEA">
        <w:rPr>
          <w:rFonts w:ascii="Tahoma" w:hAnsi="Tahoma" w:cs="Tahoma"/>
          <w:b/>
        </w:rPr>
        <w:t>Date:</w:t>
      </w:r>
      <w:r w:rsidRPr="00DF3FEA">
        <w:rPr>
          <w:rFonts w:ascii="Tahoma" w:hAnsi="Tahoma" w:cs="Tahoma"/>
          <w:b/>
        </w:rPr>
        <w:tab/>
      </w:r>
      <w:r w:rsidRPr="00DF3FEA">
        <w:rPr>
          <w:rFonts w:ascii="Tahoma" w:hAnsi="Tahoma" w:cs="Tahoma"/>
          <w:b/>
        </w:rPr>
        <w:tab/>
      </w:r>
      <w:r w:rsidR="00A650CB">
        <w:rPr>
          <w:rFonts w:ascii="Tahoma" w:hAnsi="Tahoma" w:cs="Tahoma"/>
        </w:rPr>
        <w:t xml:space="preserve">Thursday </w:t>
      </w:r>
      <w:r w:rsidR="00DD097A">
        <w:rPr>
          <w:rFonts w:ascii="Tahoma" w:hAnsi="Tahoma" w:cs="Tahoma"/>
        </w:rPr>
        <w:t>10 September</w:t>
      </w:r>
      <w:r w:rsidR="00E97535" w:rsidRPr="00DF3FEA">
        <w:rPr>
          <w:rFonts w:ascii="Tahoma" w:hAnsi="Tahoma" w:cs="Tahoma"/>
        </w:rPr>
        <w:t xml:space="preserve"> 2015</w:t>
      </w:r>
    </w:p>
    <w:p w14:paraId="4879DD45" w14:textId="47AD97F6" w:rsidR="00D3022A" w:rsidRPr="00DF3FEA" w:rsidRDefault="00D3022A" w:rsidP="00115C41">
      <w:pPr>
        <w:pStyle w:val="BodyText"/>
        <w:spacing w:after="200"/>
        <w:rPr>
          <w:rFonts w:ascii="Tahoma" w:hAnsi="Tahoma" w:cs="Tahoma"/>
          <w:b/>
        </w:rPr>
      </w:pPr>
      <w:r w:rsidRPr="00DF3FEA">
        <w:rPr>
          <w:rFonts w:ascii="Tahoma" w:hAnsi="Tahoma" w:cs="Tahoma"/>
          <w:b/>
        </w:rPr>
        <w:t>Time:</w:t>
      </w:r>
      <w:r w:rsidRPr="00DF3FEA">
        <w:rPr>
          <w:rFonts w:ascii="Tahoma" w:hAnsi="Tahoma" w:cs="Tahoma"/>
          <w:b/>
        </w:rPr>
        <w:tab/>
      </w:r>
      <w:r w:rsidRPr="00DF3FEA">
        <w:rPr>
          <w:rFonts w:ascii="Tahoma" w:hAnsi="Tahoma" w:cs="Tahoma"/>
          <w:b/>
        </w:rPr>
        <w:tab/>
      </w:r>
      <w:r w:rsidR="00DD097A">
        <w:rPr>
          <w:rFonts w:ascii="Tahoma" w:hAnsi="Tahoma" w:cs="Tahoma"/>
        </w:rPr>
        <w:t>10:00 – 12:3</w:t>
      </w:r>
      <w:r w:rsidR="004F1438">
        <w:rPr>
          <w:rFonts w:ascii="Tahoma" w:hAnsi="Tahoma" w:cs="Tahoma"/>
        </w:rPr>
        <w:t>0</w:t>
      </w:r>
    </w:p>
    <w:p w14:paraId="062A78DC" w14:textId="77777777" w:rsidR="00D3022A" w:rsidRPr="00DF3FEA" w:rsidRDefault="00D3022A" w:rsidP="00115C41">
      <w:pPr>
        <w:pStyle w:val="BodyText"/>
        <w:spacing w:after="200"/>
        <w:ind w:left="1418" w:hanging="1418"/>
        <w:rPr>
          <w:rFonts w:ascii="Tahoma" w:hAnsi="Tahoma" w:cs="Tahoma"/>
        </w:rPr>
      </w:pPr>
      <w:r w:rsidRPr="00DF3FEA">
        <w:rPr>
          <w:rFonts w:ascii="Tahoma" w:hAnsi="Tahoma" w:cs="Tahoma"/>
          <w:b/>
        </w:rPr>
        <w:t>Venue:</w:t>
      </w:r>
      <w:r w:rsidRPr="00DF3FEA">
        <w:rPr>
          <w:rFonts w:ascii="Tahoma" w:hAnsi="Tahoma" w:cs="Tahoma"/>
          <w:b/>
        </w:rPr>
        <w:tab/>
      </w:r>
      <w:r w:rsidRPr="00DF3FEA">
        <w:rPr>
          <w:rFonts w:ascii="Tahoma" w:hAnsi="Tahoma" w:cs="Tahoma"/>
        </w:rPr>
        <w:t xml:space="preserve">Gas Industry Co, Level 8, the Todd Building, 95 Customhouse Quay, Wellington  </w:t>
      </w:r>
    </w:p>
    <w:p w14:paraId="7D6CC18F" w14:textId="77777777" w:rsidR="00D3022A" w:rsidRPr="00DF3FEA" w:rsidRDefault="00D3022A" w:rsidP="00D3022A">
      <w:pPr>
        <w:pStyle w:val="Heading1"/>
        <w:pBdr>
          <w:bottom w:val="single" w:sz="8" w:space="6" w:color="auto"/>
        </w:pBdr>
        <w:rPr>
          <w:rFonts w:ascii="Tahoma" w:hAnsi="Tahoma" w:cs="Tahoma"/>
        </w:rPr>
      </w:pPr>
      <w:r w:rsidRPr="00DF3FEA">
        <w:rPr>
          <w:rFonts w:ascii="Tahoma" w:hAnsi="Tahoma" w:cs="Tahoma"/>
        </w:rPr>
        <w:t>Minutes</w:t>
      </w:r>
    </w:p>
    <w:tbl>
      <w:tblPr>
        <w:tblStyle w:val="TableGrid"/>
        <w:tblW w:w="9209" w:type="dxa"/>
        <w:tblLook w:val="04A0" w:firstRow="1" w:lastRow="0" w:firstColumn="1" w:lastColumn="0" w:noHBand="0" w:noVBand="1"/>
      </w:tblPr>
      <w:tblGrid>
        <w:gridCol w:w="884"/>
        <w:gridCol w:w="2939"/>
        <w:gridCol w:w="5386"/>
      </w:tblGrid>
      <w:tr w:rsidR="00DE27B7" w:rsidRPr="00DF3FEA" w14:paraId="125347D7" w14:textId="77777777" w:rsidTr="000E340C">
        <w:tc>
          <w:tcPr>
            <w:tcW w:w="3823" w:type="dxa"/>
            <w:gridSpan w:val="2"/>
            <w:tcBorders>
              <w:top w:val="single" w:sz="4" w:space="0" w:color="auto"/>
              <w:left w:val="single" w:sz="4" w:space="0" w:color="auto"/>
              <w:bottom w:val="single" w:sz="4" w:space="0" w:color="auto"/>
              <w:right w:val="single" w:sz="4" w:space="0" w:color="FFFFFF" w:themeColor="background1"/>
            </w:tcBorders>
            <w:shd w:val="pct15" w:color="auto" w:fill="auto"/>
            <w:tcMar>
              <w:top w:w="85" w:type="dxa"/>
              <w:bottom w:w="85" w:type="dxa"/>
            </w:tcMar>
          </w:tcPr>
          <w:p w14:paraId="35E6009F" w14:textId="07B52CAB" w:rsidR="00DE27B7" w:rsidRPr="00DF3FEA" w:rsidRDefault="00DE27B7" w:rsidP="0084774A">
            <w:pPr>
              <w:pStyle w:val="BodyText"/>
              <w:spacing w:after="120"/>
              <w:rPr>
                <w:rFonts w:ascii="Tahoma" w:hAnsi="Tahoma" w:cs="Tahoma"/>
                <w:b/>
              </w:rPr>
            </w:pPr>
            <w:r w:rsidRPr="00DF3FEA">
              <w:rPr>
                <w:rFonts w:ascii="Tahoma" w:hAnsi="Tahoma" w:cs="Tahoma"/>
                <w:b/>
              </w:rPr>
              <w:t>Present</w:t>
            </w:r>
          </w:p>
        </w:tc>
        <w:tc>
          <w:tcPr>
            <w:tcW w:w="5386" w:type="dxa"/>
            <w:tcBorders>
              <w:top w:val="single" w:sz="4" w:space="0" w:color="auto"/>
              <w:left w:val="single" w:sz="4" w:space="0" w:color="FFFFFF" w:themeColor="background1"/>
              <w:bottom w:val="single" w:sz="4" w:space="0" w:color="auto"/>
              <w:right w:val="single" w:sz="4" w:space="0" w:color="auto"/>
            </w:tcBorders>
            <w:shd w:val="pct15" w:color="auto" w:fill="auto"/>
            <w:tcMar>
              <w:top w:w="85" w:type="dxa"/>
              <w:bottom w:w="85" w:type="dxa"/>
            </w:tcMar>
          </w:tcPr>
          <w:p w14:paraId="504A7A4B" w14:textId="4A144C05" w:rsidR="00DE27B7" w:rsidRPr="00DF3FEA" w:rsidRDefault="00DE27B7" w:rsidP="0084774A">
            <w:pPr>
              <w:pStyle w:val="BodyText"/>
              <w:spacing w:after="120"/>
              <w:rPr>
                <w:rFonts w:ascii="Tahoma" w:hAnsi="Tahoma" w:cs="Tahoma"/>
                <w:b/>
              </w:rPr>
            </w:pPr>
          </w:p>
        </w:tc>
      </w:tr>
      <w:tr w:rsidR="00E927CA" w:rsidRPr="00DF3FEA" w14:paraId="3D10A185" w14:textId="77777777" w:rsidTr="000E340C">
        <w:trPr>
          <w:trHeight w:val="435"/>
        </w:trPr>
        <w:tc>
          <w:tcPr>
            <w:tcW w:w="3823" w:type="dxa"/>
            <w:gridSpan w:val="2"/>
            <w:tcBorders>
              <w:left w:val="single" w:sz="4" w:space="0" w:color="FFFFFF" w:themeColor="background1"/>
              <w:right w:val="single" w:sz="4" w:space="0" w:color="FFFFFF" w:themeColor="background1"/>
            </w:tcBorders>
            <w:tcMar>
              <w:top w:w="85" w:type="dxa"/>
              <w:bottom w:w="85" w:type="dxa"/>
            </w:tcMar>
          </w:tcPr>
          <w:p w14:paraId="3088CE62" w14:textId="451039E4" w:rsidR="0084191C" w:rsidRDefault="0084191C"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Anna Carrick</w:t>
            </w:r>
            <w:r>
              <w:rPr>
                <w:rFonts w:ascii="Tahoma" w:hAnsi="Tahoma" w:cs="Tahoma"/>
              </w:rPr>
              <w:t xml:space="preserve"> </w:t>
            </w:r>
          </w:p>
          <w:p w14:paraId="57B7E670" w14:textId="77777777" w:rsidR="0084191C" w:rsidRDefault="0084191C" w:rsidP="006C00D2">
            <w:pPr>
              <w:pStyle w:val="BodyText"/>
              <w:numPr>
                <w:ilvl w:val="0"/>
                <w:numId w:val="3"/>
              </w:numPr>
              <w:spacing w:after="120" w:line="240" w:lineRule="auto"/>
              <w:ind w:left="454" w:hanging="284"/>
              <w:rPr>
                <w:rFonts w:ascii="Tahoma" w:hAnsi="Tahoma" w:cs="Tahoma"/>
              </w:rPr>
            </w:pPr>
            <w:r>
              <w:rPr>
                <w:rFonts w:ascii="Tahoma" w:hAnsi="Tahoma" w:cs="Tahoma"/>
              </w:rPr>
              <w:t>Anna Casey</w:t>
            </w:r>
          </w:p>
          <w:p w14:paraId="3D1E5239" w14:textId="4F4523FB" w:rsidR="0084191C" w:rsidRDefault="0084191C" w:rsidP="006C00D2">
            <w:pPr>
              <w:pStyle w:val="BodyText"/>
              <w:numPr>
                <w:ilvl w:val="0"/>
                <w:numId w:val="3"/>
              </w:numPr>
              <w:spacing w:after="120" w:line="240" w:lineRule="auto"/>
              <w:ind w:left="454" w:hanging="284"/>
              <w:rPr>
                <w:rFonts w:ascii="Tahoma" w:hAnsi="Tahoma" w:cs="Tahoma"/>
              </w:rPr>
            </w:pPr>
            <w:r>
              <w:rPr>
                <w:rFonts w:ascii="Tahoma" w:hAnsi="Tahoma" w:cs="Tahoma"/>
              </w:rPr>
              <w:t>Chris Bolton</w:t>
            </w:r>
          </w:p>
          <w:p w14:paraId="113C5C3A" w14:textId="77777777"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 xml:space="preserve">Greg Redshaw </w:t>
            </w:r>
          </w:p>
          <w:p w14:paraId="39B82CA8" w14:textId="53AADDBC"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Jim Raybould</w:t>
            </w:r>
          </w:p>
          <w:p w14:paraId="1B8A6BD2" w14:textId="28571DCC" w:rsidR="004F1438" w:rsidRPr="00E927CA" w:rsidRDefault="004F1438" w:rsidP="006C00D2">
            <w:pPr>
              <w:pStyle w:val="BodyText"/>
              <w:numPr>
                <w:ilvl w:val="0"/>
                <w:numId w:val="3"/>
              </w:numPr>
              <w:spacing w:after="120" w:line="240" w:lineRule="auto"/>
              <w:ind w:left="454" w:hanging="284"/>
              <w:rPr>
                <w:rFonts w:ascii="Tahoma" w:hAnsi="Tahoma" w:cs="Tahoma"/>
              </w:rPr>
            </w:pPr>
            <w:r>
              <w:rPr>
                <w:rFonts w:ascii="Tahoma" w:hAnsi="Tahoma" w:cs="Tahoma"/>
              </w:rPr>
              <w:t>Michael Binney</w:t>
            </w:r>
          </w:p>
          <w:p w14:paraId="0B206E87" w14:textId="77777777"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Sharon Wray</w:t>
            </w:r>
          </w:p>
          <w:p w14:paraId="7479FE92" w14:textId="375B1A90" w:rsidR="004F1438" w:rsidRDefault="004F1438"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Matthew Carnachan</w:t>
            </w:r>
            <w:r>
              <w:rPr>
                <w:rFonts w:ascii="Tahoma" w:hAnsi="Tahoma" w:cs="Tahoma"/>
              </w:rPr>
              <w:t xml:space="preserve"> </w:t>
            </w:r>
          </w:p>
          <w:p w14:paraId="59F2C706" w14:textId="243C500C" w:rsidR="0084191C" w:rsidRDefault="0084191C" w:rsidP="0084191C">
            <w:pPr>
              <w:pStyle w:val="BodyText"/>
              <w:spacing w:after="120" w:line="240" w:lineRule="auto"/>
              <w:ind w:left="170"/>
              <w:rPr>
                <w:rFonts w:ascii="Tahoma" w:hAnsi="Tahoma" w:cs="Tahoma"/>
              </w:rPr>
            </w:pPr>
            <w:r>
              <w:rPr>
                <w:rFonts w:ascii="Tahoma" w:hAnsi="Tahoma" w:cs="Tahoma"/>
              </w:rPr>
              <w:t>By teleconference:</w:t>
            </w:r>
            <w:r w:rsidR="00A650CB">
              <w:rPr>
                <w:rFonts w:ascii="Tahoma" w:hAnsi="Tahoma" w:cs="Tahoma"/>
              </w:rPr>
              <w:t xml:space="preserve">  </w:t>
            </w:r>
          </w:p>
          <w:p w14:paraId="7C26074B" w14:textId="51CA17E8" w:rsidR="0084191C" w:rsidRPr="00E927CA" w:rsidRDefault="0084191C" w:rsidP="0084191C">
            <w:pPr>
              <w:pStyle w:val="BodyText"/>
              <w:numPr>
                <w:ilvl w:val="0"/>
                <w:numId w:val="3"/>
              </w:numPr>
              <w:spacing w:after="120" w:line="240" w:lineRule="auto"/>
              <w:ind w:left="454" w:hanging="284"/>
              <w:rPr>
                <w:rFonts w:ascii="Tahoma" w:hAnsi="Tahoma" w:cs="Tahoma"/>
              </w:rPr>
            </w:pPr>
            <w:r>
              <w:rPr>
                <w:rFonts w:ascii="Tahoma" w:hAnsi="Tahoma" w:cs="Tahoma"/>
              </w:rPr>
              <w:t xml:space="preserve">Craig </w:t>
            </w:r>
            <w:r w:rsidRPr="00A650CB">
              <w:rPr>
                <w:rFonts w:ascii="Tahoma" w:hAnsi="Tahoma" w:cs="Tahoma"/>
              </w:rPr>
              <w:t>Schubauer</w:t>
            </w:r>
          </w:p>
          <w:p w14:paraId="4CF3B973" w14:textId="77777777" w:rsidR="0084191C" w:rsidRDefault="0084191C" w:rsidP="0084191C">
            <w:pPr>
              <w:pStyle w:val="BodyText"/>
              <w:numPr>
                <w:ilvl w:val="0"/>
                <w:numId w:val="3"/>
              </w:numPr>
              <w:spacing w:after="120" w:line="240" w:lineRule="auto"/>
              <w:ind w:left="454" w:hanging="284"/>
              <w:rPr>
                <w:rFonts w:ascii="Tahoma" w:hAnsi="Tahoma" w:cs="Tahoma"/>
              </w:rPr>
            </w:pPr>
            <w:r>
              <w:rPr>
                <w:rFonts w:ascii="Tahoma" w:hAnsi="Tahoma" w:cs="Tahoma"/>
              </w:rPr>
              <w:t>William Turner</w:t>
            </w:r>
          </w:p>
          <w:p w14:paraId="435C0243" w14:textId="3EFB670A" w:rsidR="00FF0140" w:rsidRPr="00FF0140" w:rsidRDefault="00FF0140" w:rsidP="0084191C">
            <w:pPr>
              <w:pStyle w:val="BodyText"/>
              <w:spacing w:after="120" w:line="240" w:lineRule="auto"/>
              <w:rPr>
                <w:rFonts w:ascii="Tahoma" w:hAnsi="Tahoma" w:cs="Tahoma"/>
              </w:rPr>
            </w:pPr>
          </w:p>
        </w:tc>
        <w:tc>
          <w:tcPr>
            <w:tcW w:w="5386" w:type="dxa"/>
            <w:tcBorders>
              <w:left w:val="single" w:sz="4" w:space="0" w:color="FFFFFF" w:themeColor="background1"/>
              <w:right w:val="single" w:sz="4" w:space="0" w:color="FFFFFF" w:themeColor="background1"/>
            </w:tcBorders>
          </w:tcPr>
          <w:p w14:paraId="36320D70" w14:textId="393A5BFA" w:rsidR="004A50DF" w:rsidRDefault="004A50DF" w:rsidP="00C72BF3">
            <w:pPr>
              <w:spacing w:after="120"/>
              <w:rPr>
                <w:rFonts w:ascii="Tahoma" w:hAnsi="Tahoma" w:cs="Tahoma"/>
              </w:rPr>
            </w:pPr>
            <w:r w:rsidRPr="004A50DF">
              <w:rPr>
                <w:rFonts w:ascii="Tahoma" w:hAnsi="Tahoma" w:cs="Tahoma"/>
              </w:rPr>
              <w:t>From Gas Industry Co:</w:t>
            </w:r>
          </w:p>
          <w:p w14:paraId="75FD9A64" w14:textId="3B7FDC7D" w:rsid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Andrew Walker</w:t>
            </w:r>
          </w:p>
          <w:p w14:paraId="69AB9739" w14:textId="315DB1B9" w:rsidR="00DD097A" w:rsidRPr="0082022B" w:rsidRDefault="00DD097A"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r>
            <w:r>
              <w:rPr>
                <w:rFonts w:ascii="Tahoma" w:hAnsi="Tahoma" w:cs="Tahoma"/>
              </w:rPr>
              <w:t>Ian Dempster</w:t>
            </w:r>
          </w:p>
          <w:p w14:paraId="1D18D5BB" w14:textId="77777777" w:rsidR="0082022B" w:rsidRP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Kerry Check</w:t>
            </w:r>
          </w:p>
          <w:p w14:paraId="5CCC33E2" w14:textId="77777777" w:rsid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Pamela Caird</w:t>
            </w:r>
          </w:p>
          <w:p w14:paraId="333A87D8" w14:textId="01C7805B" w:rsidR="004F1438" w:rsidRPr="0082022B" w:rsidRDefault="004F1438"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r>
            <w:r>
              <w:rPr>
                <w:rFonts w:ascii="Tahoma" w:hAnsi="Tahoma" w:cs="Tahoma"/>
              </w:rPr>
              <w:t>Patrick Wilson</w:t>
            </w:r>
          </w:p>
          <w:p w14:paraId="4CB8D30C" w14:textId="0A203AE6" w:rsidR="00E927CA" w:rsidRPr="00DF3FEA" w:rsidRDefault="003369F1" w:rsidP="00DD097A">
            <w:pPr>
              <w:pStyle w:val="BodyText"/>
              <w:spacing w:after="120" w:line="240" w:lineRule="auto"/>
              <w:ind w:left="454" w:hanging="24"/>
              <w:rPr>
                <w:rFonts w:ascii="Tahoma" w:hAnsi="Tahoma" w:cs="Tahoma"/>
              </w:rPr>
            </w:pPr>
            <w:r>
              <w:rPr>
                <w:rFonts w:ascii="Tahoma" w:hAnsi="Tahoma" w:cs="Tahoma"/>
              </w:rPr>
              <w:t>•</w:t>
            </w:r>
            <w:r>
              <w:rPr>
                <w:rFonts w:ascii="Tahoma" w:hAnsi="Tahoma" w:cs="Tahoma"/>
              </w:rPr>
              <w:tab/>
              <w:t>Dave</w:t>
            </w:r>
            <w:r w:rsidR="0082022B" w:rsidRPr="0082022B">
              <w:rPr>
                <w:rFonts w:ascii="Tahoma" w:hAnsi="Tahoma" w:cs="Tahoma"/>
              </w:rPr>
              <w:t xml:space="preserve"> Weaver, Concept Consulting</w:t>
            </w:r>
          </w:p>
        </w:tc>
      </w:tr>
      <w:tr w:rsidR="00DE27B7" w:rsidRPr="0084774A" w14:paraId="13B29542" w14:textId="555DF156" w:rsidTr="000E340C">
        <w:tc>
          <w:tcPr>
            <w:tcW w:w="884" w:type="dxa"/>
            <w:shd w:val="clear" w:color="auto" w:fill="D9D9D9" w:themeFill="background1" w:themeFillShade="D9"/>
            <w:tcMar>
              <w:top w:w="85" w:type="dxa"/>
              <w:bottom w:w="85" w:type="dxa"/>
            </w:tcMar>
          </w:tcPr>
          <w:p w14:paraId="3004D224" w14:textId="6153BCCA" w:rsidR="00DE27B7" w:rsidRPr="00DF3FEA" w:rsidRDefault="00DE27B7" w:rsidP="0084774A">
            <w:pPr>
              <w:pStyle w:val="BodyText"/>
              <w:spacing w:after="120"/>
              <w:rPr>
                <w:rFonts w:ascii="Tahoma" w:hAnsi="Tahoma" w:cs="Tahoma"/>
                <w:b/>
              </w:rPr>
            </w:pPr>
            <w:r w:rsidRPr="00DF3FEA">
              <w:rPr>
                <w:rFonts w:ascii="Tahoma" w:hAnsi="Tahoma" w:cs="Tahoma"/>
                <w:b/>
              </w:rPr>
              <w:t>1</w:t>
            </w:r>
          </w:p>
        </w:tc>
        <w:tc>
          <w:tcPr>
            <w:tcW w:w="8325" w:type="dxa"/>
            <w:gridSpan w:val="2"/>
            <w:shd w:val="clear" w:color="auto" w:fill="D9D9D9" w:themeFill="background1" w:themeFillShade="D9"/>
            <w:tcMar>
              <w:top w:w="85" w:type="dxa"/>
              <w:bottom w:w="85" w:type="dxa"/>
            </w:tcMar>
          </w:tcPr>
          <w:p w14:paraId="43FE73F0" w14:textId="0B4057BF" w:rsidR="00DE27B7" w:rsidRPr="00DF3FEA" w:rsidRDefault="0084191C" w:rsidP="0084774A">
            <w:pPr>
              <w:pStyle w:val="BodyText"/>
              <w:spacing w:after="120"/>
              <w:rPr>
                <w:rFonts w:ascii="Tahoma" w:hAnsi="Tahoma" w:cs="Tahoma"/>
                <w:b/>
              </w:rPr>
            </w:pPr>
            <w:r>
              <w:rPr>
                <w:rFonts w:ascii="Tahoma" w:hAnsi="Tahoma" w:cs="Tahoma"/>
                <w:b/>
              </w:rPr>
              <w:t>Daily allocation process</w:t>
            </w:r>
          </w:p>
        </w:tc>
      </w:tr>
      <w:tr w:rsidR="00DE27B7" w:rsidRPr="00DF3FEA" w14:paraId="476E1CC2" w14:textId="799F1156" w:rsidTr="000E340C">
        <w:trPr>
          <w:trHeight w:val="537"/>
        </w:trPr>
        <w:tc>
          <w:tcPr>
            <w:tcW w:w="884" w:type="dxa"/>
            <w:tcMar>
              <w:top w:w="85" w:type="dxa"/>
              <w:bottom w:w="85" w:type="dxa"/>
            </w:tcMar>
          </w:tcPr>
          <w:p w14:paraId="4514BB00" w14:textId="77777777" w:rsidR="00DE27B7" w:rsidRPr="00DF3FEA" w:rsidRDefault="00DE27B7" w:rsidP="00E97535">
            <w:pPr>
              <w:pStyle w:val="BodyText"/>
              <w:rPr>
                <w:rFonts w:ascii="Tahoma" w:hAnsi="Tahoma" w:cs="Tahoma"/>
              </w:rPr>
            </w:pPr>
          </w:p>
        </w:tc>
        <w:tc>
          <w:tcPr>
            <w:tcW w:w="8325" w:type="dxa"/>
            <w:gridSpan w:val="2"/>
            <w:tcMar>
              <w:top w:w="85" w:type="dxa"/>
              <w:bottom w:w="85" w:type="dxa"/>
            </w:tcMar>
          </w:tcPr>
          <w:p w14:paraId="5D6C02CE" w14:textId="77777777" w:rsidR="00CF1860" w:rsidRPr="00EE4F24" w:rsidRDefault="0084191C" w:rsidP="00EE4F24">
            <w:pPr>
              <w:pStyle w:val="ListBullet"/>
              <w:numPr>
                <w:ilvl w:val="0"/>
                <w:numId w:val="0"/>
              </w:numPr>
              <w:spacing w:before="40"/>
              <w:contextualSpacing w:val="0"/>
              <w:rPr>
                <w:rFonts w:ascii="Tahoma" w:hAnsi="Tahoma" w:cs="Tahoma"/>
                <w:b/>
                <w:u w:val="single"/>
              </w:rPr>
            </w:pPr>
            <w:r w:rsidRPr="00EE4F24">
              <w:rPr>
                <w:rFonts w:ascii="Tahoma" w:hAnsi="Tahoma" w:cs="Tahoma"/>
                <w:b/>
                <w:u w:val="single"/>
              </w:rPr>
              <w:t>Special allocations to replace initials:</w:t>
            </w:r>
          </w:p>
          <w:p w14:paraId="43B6E308" w14:textId="2DDF4E34" w:rsidR="0084191C" w:rsidRDefault="00D85D48"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GIC provided clarification about the special allocation consultation paper.  The proposal to use special </w:t>
            </w:r>
            <w:r w:rsidR="0052182C">
              <w:rPr>
                <w:rFonts w:ascii="Tahoma" w:hAnsi="Tahoma" w:cs="Tahoma"/>
              </w:rPr>
              <w:t>allocations</w:t>
            </w:r>
            <w:r>
              <w:rPr>
                <w:rFonts w:ascii="Tahoma" w:hAnsi="Tahoma" w:cs="Tahoma"/>
              </w:rPr>
              <w:t xml:space="preserve"> to replace initial allocation results with D+1 results is to address the unfairness that would occur if shippers were balancing their positions to D+1 results during the month but then were being invoiced on the basis of a different set of numbers.  This situation does not exist as long as shippers are not being provided with daily BPP positions by Vector.  In other words, GIC would not consider directing specials for D+1 unless and until shippers are being provided with BPP positions based on the D+1 allocations.</w:t>
            </w:r>
          </w:p>
          <w:p w14:paraId="11E1EC12" w14:textId="77777777" w:rsidR="00D85D48" w:rsidRPr="00EE4F24" w:rsidRDefault="00D85D48" w:rsidP="00EE4F24">
            <w:pPr>
              <w:pStyle w:val="ListBullet"/>
              <w:numPr>
                <w:ilvl w:val="0"/>
                <w:numId w:val="0"/>
              </w:numPr>
              <w:spacing w:before="240"/>
              <w:contextualSpacing w:val="0"/>
              <w:rPr>
                <w:rFonts w:ascii="Tahoma" w:hAnsi="Tahoma" w:cs="Tahoma"/>
                <w:b/>
                <w:u w:val="single"/>
              </w:rPr>
            </w:pPr>
            <w:r w:rsidRPr="00EE4F24">
              <w:rPr>
                <w:rFonts w:ascii="Tahoma" w:hAnsi="Tahoma" w:cs="Tahoma"/>
                <w:b/>
                <w:u w:val="single"/>
              </w:rPr>
              <w:t>Daily allocation business rules and processes</w:t>
            </w:r>
          </w:p>
          <w:p w14:paraId="6AC7D9FC" w14:textId="1E100402" w:rsidR="00D85D48" w:rsidRDefault="0052182C" w:rsidP="00EB5ABB">
            <w:pPr>
              <w:pStyle w:val="ListBullet"/>
              <w:numPr>
                <w:ilvl w:val="0"/>
                <w:numId w:val="2"/>
              </w:numPr>
              <w:spacing w:before="40"/>
              <w:ind w:left="357" w:hanging="357"/>
              <w:contextualSpacing w:val="0"/>
              <w:rPr>
                <w:rFonts w:ascii="Tahoma" w:hAnsi="Tahoma" w:cs="Tahoma"/>
              </w:rPr>
            </w:pPr>
            <w:r>
              <w:rPr>
                <w:rFonts w:ascii="Tahoma" w:hAnsi="Tahoma" w:cs="Tahoma"/>
              </w:rPr>
              <w:t>GIC presented a table outlining the data inputs, processes, and draft business rules for the production of daily D+1 results.  (Some inaccuracies were noted in the meeting; the published version of the presentation incorporates the corrections)</w:t>
            </w:r>
          </w:p>
          <w:p w14:paraId="67768249" w14:textId="3BD70E15" w:rsidR="0052182C" w:rsidRDefault="0052182C" w:rsidP="00EB5ABB">
            <w:pPr>
              <w:pStyle w:val="ListBullet"/>
              <w:numPr>
                <w:ilvl w:val="0"/>
                <w:numId w:val="2"/>
              </w:numPr>
              <w:spacing w:before="40"/>
              <w:ind w:left="357" w:hanging="357"/>
              <w:contextualSpacing w:val="0"/>
              <w:rPr>
                <w:rFonts w:ascii="Tahoma" w:hAnsi="Tahoma" w:cs="Tahoma"/>
              </w:rPr>
            </w:pPr>
            <w:r>
              <w:rPr>
                <w:rFonts w:ascii="Tahoma" w:hAnsi="Tahoma" w:cs="Tahoma"/>
              </w:rPr>
              <w:t>On switches:  At the moment, the D+1 model downloads a copy of the registry in order to determine the responsible retailer for each ToU ICP.  In the longer term, GIC will ask Jade to build a report that will collate</w:t>
            </w:r>
            <w:r w:rsidR="00C81777">
              <w:rPr>
                <w:rFonts w:ascii="Tahoma" w:hAnsi="Tahoma" w:cs="Tahoma"/>
              </w:rPr>
              <w:t xml:space="preserve"> this information automatically.</w:t>
            </w:r>
            <w:r>
              <w:rPr>
                <w:rFonts w:ascii="Tahoma" w:hAnsi="Tahoma" w:cs="Tahoma"/>
              </w:rPr>
              <w:t xml:space="preserve">  The report could include a flag for ICPs that have a switch in progress.  This could serve as a useful </w:t>
            </w:r>
            <w:r w:rsidR="00C81777">
              <w:rPr>
                <w:rFonts w:ascii="Tahoma" w:hAnsi="Tahoma" w:cs="Tahoma"/>
              </w:rPr>
              <w:t>notification</w:t>
            </w:r>
            <w:r>
              <w:rPr>
                <w:rFonts w:ascii="Tahoma" w:hAnsi="Tahoma" w:cs="Tahoma"/>
              </w:rPr>
              <w:t xml:space="preserve"> in the D+1 process, but it would not eliminate the need for retailers to alert GIC about the effective date of a switch that is not yet complete on the registry </w:t>
            </w:r>
            <w:r>
              <w:rPr>
                <w:rFonts w:ascii="Tahoma" w:hAnsi="Tahoma" w:cs="Tahoma"/>
              </w:rPr>
              <w:lastRenderedPageBreak/>
              <w:t>(typically because the losing retailer is awaiting a final meter reading)</w:t>
            </w:r>
            <w:r w:rsidR="00C81777">
              <w:rPr>
                <w:rFonts w:ascii="Tahoma" w:hAnsi="Tahoma" w:cs="Tahoma"/>
              </w:rPr>
              <w:t>.</w:t>
            </w:r>
          </w:p>
          <w:p w14:paraId="44441924" w14:textId="47DCCFE6" w:rsidR="00C81777" w:rsidRDefault="00C81777"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One retailer raised the possibility of mid-month </w:t>
            </w:r>
            <w:r w:rsidR="00BD379A">
              <w:rPr>
                <w:rFonts w:ascii="Tahoma" w:hAnsi="Tahoma" w:cs="Tahoma"/>
              </w:rPr>
              <w:t xml:space="preserve">group 2 meter readings:  could they be incorporated into the D+1 modelling to provide more accurate estimates?  Dave responded that the model has not been built to accommodate a mid-month data refresh, and if we were to do one, it would need to be </w:t>
            </w:r>
            <w:r w:rsidR="00F44CFB">
              <w:rPr>
                <w:rFonts w:ascii="Tahoma" w:hAnsi="Tahoma" w:cs="Tahoma"/>
              </w:rPr>
              <w:t xml:space="preserve">with </w:t>
            </w:r>
            <w:r w:rsidR="00BD379A">
              <w:rPr>
                <w:rFonts w:ascii="Tahoma" w:hAnsi="Tahoma" w:cs="Tahoma"/>
              </w:rPr>
              <w:t>a complete data set</w:t>
            </w:r>
            <w:r w:rsidR="00D06C35">
              <w:rPr>
                <w:rFonts w:ascii="Tahoma" w:hAnsi="Tahoma" w:cs="Tahoma"/>
              </w:rPr>
              <w:t xml:space="preserve"> (i.e. all of the group 2 meters would need to be read mid-month and the readings supplied)</w:t>
            </w:r>
            <w:r w:rsidR="00BD379A">
              <w:rPr>
                <w:rFonts w:ascii="Tahoma" w:hAnsi="Tahoma" w:cs="Tahoma"/>
              </w:rPr>
              <w:t>.</w:t>
            </w:r>
          </w:p>
          <w:p w14:paraId="2C104927" w14:textId="306BB4D9" w:rsidR="00BD379A" w:rsidRDefault="00BD379A"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On zero values for gas gate injections:  </w:t>
            </w:r>
            <w:r w:rsidR="009A348F">
              <w:rPr>
                <w:rFonts w:ascii="Tahoma" w:hAnsi="Tahoma" w:cs="Tahoma"/>
              </w:rPr>
              <w:t xml:space="preserve">There are days </w:t>
            </w:r>
            <w:r w:rsidR="002A32F3">
              <w:rPr>
                <w:rFonts w:ascii="Tahoma" w:hAnsi="Tahoma" w:cs="Tahoma"/>
              </w:rPr>
              <w:t xml:space="preserve">when </w:t>
            </w:r>
            <w:r w:rsidR="009A348F">
              <w:rPr>
                <w:rFonts w:ascii="Tahoma" w:hAnsi="Tahoma" w:cs="Tahoma"/>
              </w:rPr>
              <w:t>zero</w:t>
            </w:r>
            <w:r w:rsidR="002A32F3">
              <w:rPr>
                <w:rFonts w:ascii="Tahoma" w:hAnsi="Tahoma" w:cs="Tahoma"/>
              </w:rPr>
              <w:t xml:space="preserve"> is validly</w:t>
            </w:r>
            <w:r w:rsidR="009A348F">
              <w:rPr>
                <w:rFonts w:ascii="Tahoma" w:hAnsi="Tahoma" w:cs="Tahoma"/>
              </w:rPr>
              <w:t xml:space="preserve"> recorded </w:t>
            </w:r>
            <w:r w:rsidR="002A32F3">
              <w:rPr>
                <w:rFonts w:ascii="Tahoma" w:hAnsi="Tahoma" w:cs="Tahoma"/>
              </w:rPr>
              <w:t xml:space="preserve">for </w:t>
            </w:r>
            <w:r w:rsidR="009A348F">
              <w:rPr>
                <w:rFonts w:ascii="Tahoma" w:hAnsi="Tahoma" w:cs="Tahoma"/>
              </w:rPr>
              <w:t xml:space="preserve">consumption at a gas gate.  </w:t>
            </w:r>
            <w:r w:rsidR="002A32F3">
              <w:rPr>
                <w:rFonts w:ascii="Tahoma" w:hAnsi="Tahoma" w:cs="Tahoma"/>
              </w:rPr>
              <w:t>If there is an error in receiving injection data, the data file generally has a null rather than a zero value.</w:t>
            </w:r>
          </w:p>
          <w:p w14:paraId="2F05A72C" w14:textId="0575940D" w:rsidR="002A32F3" w:rsidRDefault="002A32F3" w:rsidP="00A243D5">
            <w:pPr>
              <w:pStyle w:val="ListBullet"/>
              <w:numPr>
                <w:ilvl w:val="0"/>
                <w:numId w:val="0"/>
              </w:numPr>
              <w:spacing w:before="40"/>
              <w:ind w:left="1526" w:hanging="850"/>
              <w:contextualSpacing w:val="0"/>
              <w:rPr>
                <w:rFonts w:ascii="Tahoma" w:hAnsi="Tahoma" w:cs="Tahoma"/>
              </w:rPr>
            </w:pPr>
            <w:r w:rsidRPr="00A243D5">
              <w:rPr>
                <w:rFonts w:ascii="Tahoma" w:hAnsi="Tahoma" w:cs="Tahoma"/>
                <w:b/>
                <w:i/>
                <w:u w:val="single"/>
              </w:rPr>
              <w:t>Action:</w:t>
            </w:r>
            <w:r>
              <w:rPr>
                <w:rFonts w:ascii="Tahoma" w:hAnsi="Tahoma" w:cs="Tahoma"/>
              </w:rPr>
              <w:t xml:space="preserve">  Vector transmission double checking the</w:t>
            </w:r>
            <w:r w:rsidR="00A243D5">
              <w:rPr>
                <w:rFonts w:ascii="Tahoma" w:hAnsi="Tahoma" w:cs="Tahoma"/>
              </w:rPr>
              <w:t xml:space="preserve"> frequency and accuracy of zero readings</w:t>
            </w:r>
          </w:p>
          <w:p w14:paraId="7C7F0926" w14:textId="7464FB01" w:rsidR="00A243D5" w:rsidRDefault="00A243D5" w:rsidP="00A243D5">
            <w:pPr>
              <w:pStyle w:val="ListBullet"/>
              <w:numPr>
                <w:ilvl w:val="0"/>
                <w:numId w:val="0"/>
              </w:numPr>
              <w:spacing w:before="40"/>
              <w:ind w:left="392"/>
              <w:contextualSpacing w:val="0"/>
              <w:rPr>
                <w:rFonts w:ascii="Tahoma" w:hAnsi="Tahoma" w:cs="Tahoma"/>
              </w:rPr>
            </w:pPr>
            <w:r>
              <w:rPr>
                <w:rFonts w:ascii="Tahoma" w:hAnsi="Tahoma" w:cs="Tahoma"/>
              </w:rPr>
              <w:t xml:space="preserve">It was suggested that any double checking of zero gate injection quantities should be </w:t>
            </w:r>
            <w:r w:rsidR="00D06C35">
              <w:rPr>
                <w:rFonts w:ascii="Tahoma" w:hAnsi="Tahoma" w:cs="Tahoma"/>
              </w:rPr>
              <w:t>undertaken</w:t>
            </w:r>
            <w:r>
              <w:rPr>
                <w:rFonts w:ascii="Tahoma" w:hAnsi="Tahoma" w:cs="Tahoma"/>
              </w:rPr>
              <w:t xml:space="preserve"> by Vector transmission and accepted as true if received by the D+1 model.</w:t>
            </w:r>
          </w:p>
          <w:p w14:paraId="7846E689" w14:textId="4D2CAC05" w:rsidR="00A243D5" w:rsidRDefault="00A243D5" w:rsidP="00EB5ABB">
            <w:pPr>
              <w:pStyle w:val="ListBullet"/>
              <w:numPr>
                <w:ilvl w:val="0"/>
                <w:numId w:val="2"/>
              </w:numPr>
              <w:spacing w:before="40"/>
              <w:ind w:left="357" w:hanging="357"/>
              <w:contextualSpacing w:val="0"/>
              <w:rPr>
                <w:rFonts w:ascii="Tahoma" w:hAnsi="Tahoma" w:cs="Tahoma"/>
              </w:rPr>
            </w:pPr>
            <w:r>
              <w:rPr>
                <w:rFonts w:ascii="Tahoma" w:hAnsi="Tahoma" w:cs="Tahoma"/>
              </w:rPr>
              <w:t>What about allocation group 3 or 5 customers?  There have been no profiles registered for group 3 or 5 customers since the start of the Reconciliation Rules.  At the moment, the model does not cater for such profiles and any group 3 or 5 customers would be allocated as the rest of the mass market load is.</w:t>
            </w:r>
          </w:p>
          <w:p w14:paraId="65A3AD32" w14:textId="77ACEF1B" w:rsidR="0052182C" w:rsidRDefault="00EE4F24"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Direct connect gas gates </w:t>
            </w:r>
            <w:r w:rsidR="00431766">
              <w:rPr>
                <w:rFonts w:ascii="Tahoma" w:hAnsi="Tahoma" w:cs="Tahoma"/>
              </w:rPr>
              <w:t xml:space="preserve">and Nova gas gates </w:t>
            </w:r>
            <w:r>
              <w:rPr>
                <w:rFonts w:ascii="Tahoma" w:hAnsi="Tahoma" w:cs="Tahoma"/>
              </w:rPr>
              <w:t>are not included in the D+1 allocation (note added to powerpoint table)</w:t>
            </w:r>
          </w:p>
          <w:p w14:paraId="31745541" w14:textId="77777777" w:rsidR="00EE4F24" w:rsidRDefault="00EE4F24" w:rsidP="00EE4F24">
            <w:pPr>
              <w:pStyle w:val="ListBullet"/>
              <w:numPr>
                <w:ilvl w:val="0"/>
                <w:numId w:val="2"/>
              </w:numPr>
              <w:spacing w:before="40"/>
              <w:ind w:left="357" w:hanging="357"/>
              <w:contextualSpacing w:val="0"/>
              <w:rPr>
                <w:rFonts w:ascii="Tahoma" w:hAnsi="Tahoma" w:cs="Tahoma"/>
              </w:rPr>
            </w:pPr>
            <w:r>
              <w:rPr>
                <w:rFonts w:ascii="Tahoma" w:hAnsi="Tahoma" w:cs="Tahoma"/>
              </w:rPr>
              <w:t>Metering data are not validated on weekends (note added to powerpoint table)</w:t>
            </w:r>
          </w:p>
          <w:p w14:paraId="74C5B00E" w14:textId="77777777" w:rsidR="0052182C" w:rsidRDefault="00EE4F24" w:rsidP="00EB5ABB">
            <w:pPr>
              <w:pStyle w:val="ListBullet"/>
              <w:numPr>
                <w:ilvl w:val="0"/>
                <w:numId w:val="2"/>
              </w:numPr>
              <w:spacing w:before="40"/>
              <w:ind w:left="357" w:hanging="357"/>
              <w:contextualSpacing w:val="0"/>
              <w:rPr>
                <w:rFonts w:ascii="Tahoma" w:hAnsi="Tahoma" w:cs="Tahoma"/>
              </w:rPr>
            </w:pPr>
            <w:r>
              <w:rPr>
                <w:rFonts w:ascii="Tahoma" w:hAnsi="Tahoma" w:cs="Tahoma"/>
              </w:rPr>
              <w:t>The quality of the metering data during the week will depend on the number of exceptions that come through.  It takes time to investigate, and it may not be possible to validate all data points before D+1 runs for the day.</w:t>
            </w:r>
          </w:p>
          <w:p w14:paraId="5EFFEE2A" w14:textId="77777777" w:rsidR="00EE4F24" w:rsidRPr="00EE4F24" w:rsidRDefault="00EE4F24" w:rsidP="00EE4F24">
            <w:pPr>
              <w:pStyle w:val="ListBullet"/>
              <w:numPr>
                <w:ilvl w:val="0"/>
                <w:numId w:val="0"/>
              </w:numPr>
              <w:spacing w:before="240"/>
              <w:contextualSpacing w:val="0"/>
              <w:rPr>
                <w:rFonts w:ascii="Tahoma" w:hAnsi="Tahoma" w:cs="Tahoma"/>
                <w:b/>
                <w:u w:val="single"/>
              </w:rPr>
            </w:pPr>
            <w:r w:rsidRPr="00EE4F24">
              <w:rPr>
                <w:rFonts w:ascii="Tahoma" w:hAnsi="Tahoma" w:cs="Tahoma"/>
                <w:b/>
                <w:u w:val="single"/>
              </w:rPr>
              <w:t>Project timeline</w:t>
            </w:r>
          </w:p>
          <w:p w14:paraId="0C9D960B" w14:textId="50E7264F" w:rsidR="0032066E" w:rsidRDefault="0032066E"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It is a longish timetable:  optimistically, the earliest that we could have certainty about new rules coming into effect would be the end of </w:t>
            </w:r>
            <w:r w:rsidR="00D06C35">
              <w:rPr>
                <w:rFonts w:ascii="Tahoma" w:hAnsi="Tahoma" w:cs="Tahoma"/>
              </w:rPr>
              <w:t xml:space="preserve">calendar </w:t>
            </w:r>
            <w:r>
              <w:rPr>
                <w:rFonts w:ascii="Tahoma" w:hAnsi="Tahoma" w:cs="Tahoma"/>
              </w:rPr>
              <w:t xml:space="preserve">2016; building a D+1 allocation system would take at least another six months after that.  (May be possible to get approval in principle from the Minister for new rules, with go-live after the system is commissioned.)  This means that the </w:t>
            </w:r>
            <w:r w:rsidR="00D06C35">
              <w:rPr>
                <w:rFonts w:ascii="Tahoma" w:hAnsi="Tahoma" w:cs="Tahoma"/>
              </w:rPr>
              <w:t xml:space="preserve">systems set up for the </w:t>
            </w:r>
            <w:r>
              <w:rPr>
                <w:rFonts w:ascii="Tahoma" w:hAnsi="Tahoma" w:cs="Tahoma"/>
              </w:rPr>
              <w:t>D+1 trial could continue until mid-2017.</w:t>
            </w:r>
          </w:p>
          <w:p w14:paraId="684B78CF" w14:textId="37B674F5" w:rsidR="00EE4F24" w:rsidRDefault="000874C9"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Scope:  one question up for debate as the project progresses is the scope of the changes.  The Reconciliation Rules could change to incorporate just a D+1 process, or </w:t>
            </w:r>
            <w:r w:rsidR="0032066E">
              <w:rPr>
                <w:rFonts w:ascii="Tahoma" w:hAnsi="Tahoma" w:cs="Tahoma"/>
              </w:rPr>
              <w:t xml:space="preserve">there could also be rule changes (or new rules implemented) that would provide for a central service provider to perform the </w:t>
            </w:r>
            <w:r w:rsidR="00A27996">
              <w:rPr>
                <w:rFonts w:ascii="Tahoma" w:hAnsi="Tahoma" w:cs="Tahoma"/>
              </w:rPr>
              <w:t xml:space="preserve">gas transfer and </w:t>
            </w:r>
            <w:r w:rsidR="0032066E">
              <w:rPr>
                <w:rFonts w:ascii="Tahoma" w:hAnsi="Tahoma" w:cs="Tahoma"/>
              </w:rPr>
              <w:t>BPP calculations</w:t>
            </w:r>
          </w:p>
          <w:p w14:paraId="2574ECCF" w14:textId="77777777" w:rsidR="0032066E" w:rsidRDefault="0032066E"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All costs need to be considered in the decision about the best way forward.  </w:t>
            </w:r>
          </w:p>
          <w:p w14:paraId="3256286A" w14:textId="6DB1A40E" w:rsidR="00710DC6" w:rsidRDefault="00710DC6"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Consideration of this project will </w:t>
            </w:r>
            <w:r w:rsidR="00A27996">
              <w:rPr>
                <w:rFonts w:ascii="Tahoma" w:hAnsi="Tahoma" w:cs="Tahoma"/>
              </w:rPr>
              <w:t xml:space="preserve">need to </w:t>
            </w:r>
            <w:r>
              <w:rPr>
                <w:rFonts w:ascii="Tahoma" w:hAnsi="Tahoma" w:cs="Tahoma"/>
              </w:rPr>
              <w:t>be included in GIC’s upcoming planning for FY2017, including the co-regulatory forum</w:t>
            </w:r>
          </w:p>
          <w:p w14:paraId="4F1451F4" w14:textId="77777777" w:rsidR="0032066E" w:rsidRPr="005918E0" w:rsidRDefault="0032066E" w:rsidP="005918E0">
            <w:pPr>
              <w:pStyle w:val="ListBullet"/>
              <w:numPr>
                <w:ilvl w:val="0"/>
                <w:numId w:val="0"/>
              </w:numPr>
              <w:spacing w:before="240"/>
              <w:contextualSpacing w:val="0"/>
              <w:rPr>
                <w:rFonts w:ascii="Tahoma" w:hAnsi="Tahoma" w:cs="Tahoma"/>
                <w:b/>
                <w:u w:val="single"/>
              </w:rPr>
            </w:pPr>
            <w:r w:rsidRPr="005918E0">
              <w:rPr>
                <w:rFonts w:ascii="Tahoma" w:hAnsi="Tahoma" w:cs="Tahoma"/>
                <w:b/>
                <w:u w:val="single"/>
              </w:rPr>
              <w:t>Other D+1 points</w:t>
            </w:r>
          </w:p>
          <w:p w14:paraId="650EE1B1" w14:textId="169796FA" w:rsidR="0032066E" w:rsidRDefault="0032066E" w:rsidP="005918E0">
            <w:pPr>
              <w:pStyle w:val="ListBullet"/>
              <w:numPr>
                <w:ilvl w:val="0"/>
                <w:numId w:val="2"/>
              </w:numPr>
              <w:spacing w:before="40"/>
              <w:ind w:left="357" w:hanging="357"/>
              <w:contextualSpacing w:val="0"/>
              <w:rPr>
                <w:rFonts w:ascii="Tahoma" w:hAnsi="Tahoma" w:cs="Tahoma"/>
              </w:rPr>
            </w:pPr>
            <w:r>
              <w:rPr>
                <w:rFonts w:ascii="Tahoma" w:hAnsi="Tahoma" w:cs="Tahoma"/>
              </w:rPr>
              <w:t>The impact of MBB on large consumers</w:t>
            </w:r>
            <w:r w:rsidR="005918E0">
              <w:rPr>
                <w:rFonts w:ascii="Tahoma" w:hAnsi="Tahoma" w:cs="Tahoma"/>
              </w:rPr>
              <w:t xml:space="preserve"> depends on their contract.  At</w:t>
            </w:r>
            <w:r>
              <w:rPr>
                <w:rFonts w:ascii="Tahoma" w:hAnsi="Tahoma" w:cs="Tahoma"/>
              </w:rPr>
              <w:t xml:space="preserve"> the moment, large consumers don’t seem to know much about MBB</w:t>
            </w:r>
            <w:r w:rsidR="005918E0">
              <w:rPr>
                <w:rFonts w:ascii="Tahoma" w:hAnsi="Tahoma" w:cs="Tahoma"/>
              </w:rPr>
              <w:t>.  Retailers themselves may not know exactly how the changes will impact their customers.  The industry tends to pass through costs at cost, except for the margin on energy.</w:t>
            </w:r>
          </w:p>
          <w:p w14:paraId="5087C55E" w14:textId="1FF331B9" w:rsidR="005918E0" w:rsidRDefault="00A27996" w:rsidP="005918E0">
            <w:pPr>
              <w:pStyle w:val="ListBullet"/>
              <w:numPr>
                <w:ilvl w:val="0"/>
                <w:numId w:val="2"/>
              </w:numPr>
              <w:spacing w:before="40"/>
              <w:ind w:left="357" w:hanging="357"/>
              <w:contextualSpacing w:val="0"/>
              <w:rPr>
                <w:rFonts w:ascii="Tahoma" w:hAnsi="Tahoma" w:cs="Tahoma"/>
              </w:rPr>
            </w:pPr>
            <w:r>
              <w:rPr>
                <w:rFonts w:ascii="Tahoma" w:hAnsi="Tahoma" w:cs="Tahoma"/>
              </w:rPr>
              <w:t xml:space="preserve">There was some discussion on whether large consumers may view paying for installation of telemetry </w:t>
            </w:r>
            <w:r w:rsidR="00431766">
              <w:rPr>
                <w:rFonts w:ascii="Tahoma" w:hAnsi="Tahoma" w:cs="Tahoma"/>
              </w:rPr>
              <w:t xml:space="preserve">as a desirable option for controlling costs </w:t>
            </w:r>
            <w:r>
              <w:rPr>
                <w:rFonts w:ascii="Tahoma" w:hAnsi="Tahoma" w:cs="Tahoma"/>
              </w:rPr>
              <w:t xml:space="preserve">(so they have a known position each day). </w:t>
            </w:r>
            <w:r w:rsidR="005918E0">
              <w:rPr>
                <w:rFonts w:ascii="Tahoma" w:hAnsi="Tahoma" w:cs="Tahoma"/>
              </w:rPr>
              <w:t xml:space="preserve">It </w:t>
            </w:r>
            <w:r>
              <w:rPr>
                <w:rFonts w:ascii="Tahoma" w:hAnsi="Tahoma" w:cs="Tahoma"/>
              </w:rPr>
              <w:t xml:space="preserve">was noted in the discussion </w:t>
            </w:r>
            <w:r w:rsidR="005918E0">
              <w:rPr>
                <w:rFonts w:ascii="Tahoma" w:hAnsi="Tahoma" w:cs="Tahoma"/>
              </w:rPr>
              <w:t>that large consumers may start to move to smart meters rather than telemetry</w:t>
            </w:r>
          </w:p>
          <w:p w14:paraId="67044A1F" w14:textId="33F7F53D" w:rsidR="005918E0" w:rsidRDefault="005918E0" w:rsidP="005918E0">
            <w:pPr>
              <w:pStyle w:val="ListBullet"/>
              <w:numPr>
                <w:ilvl w:val="0"/>
                <w:numId w:val="2"/>
              </w:numPr>
              <w:spacing w:before="40"/>
              <w:ind w:left="357" w:hanging="357"/>
              <w:contextualSpacing w:val="0"/>
              <w:rPr>
                <w:rFonts w:ascii="Tahoma" w:hAnsi="Tahoma" w:cs="Tahoma"/>
              </w:rPr>
            </w:pPr>
            <w:r>
              <w:rPr>
                <w:rFonts w:ascii="Tahoma" w:hAnsi="Tahoma" w:cs="Tahoma"/>
              </w:rPr>
              <w:t xml:space="preserve">Knowing about shutdowns could improve the accuracy of D+1 </w:t>
            </w:r>
            <w:r w:rsidR="00F45745">
              <w:rPr>
                <w:rFonts w:ascii="Tahoma" w:hAnsi="Tahoma" w:cs="Tahoma"/>
              </w:rPr>
              <w:t>allocations</w:t>
            </w:r>
            <w:r>
              <w:rPr>
                <w:rFonts w:ascii="Tahoma" w:hAnsi="Tahoma" w:cs="Tahoma"/>
              </w:rPr>
              <w:t xml:space="preserve"> for group 2 customers</w:t>
            </w:r>
          </w:p>
          <w:p w14:paraId="672D143C" w14:textId="4F11B3EA" w:rsidR="005918E0" w:rsidRPr="005C4002" w:rsidRDefault="005918E0" w:rsidP="005918E0">
            <w:pPr>
              <w:pStyle w:val="ListBullet"/>
              <w:numPr>
                <w:ilvl w:val="0"/>
                <w:numId w:val="0"/>
              </w:numPr>
              <w:spacing w:before="40"/>
              <w:ind w:left="1526" w:hanging="850"/>
              <w:contextualSpacing w:val="0"/>
              <w:rPr>
                <w:rFonts w:ascii="Tahoma" w:hAnsi="Tahoma" w:cs="Tahoma"/>
              </w:rPr>
            </w:pPr>
            <w:r w:rsidRPr="005918E0">
              <w:rPr>
                <w:rFonts w:ascii="Tahoma" w:hAnsi="Tahoma" w:cs="Tahoma"/>
                <w:b/>
                <w:i/>
                <w:u w:val="single"/>
              </w:rPr>
              <w:t>Action:</w:t>
            </w:r>
            <w:r w:rsidRPr="005918E0">
              <w:rPr>
                <w:rFonts w:ascii="Tahoma" w:hAnsi="Tahoma" w:cs="Tahoma"/>
              </w:rPr>
              <w:t xml:space="preserve">  Dave to investigate adding shutdowns to the model</w:t>
            </w:r>
          </w:p>
        </w:tc>
      </w:tr>
      <w:tr w:rsidR="00DE27B7" w:rsidRPr="0084774A" w14:paraId="5DBCD0D3" w14:textId="667AE4D0" w:rsidTr="000E340C">
        <w:trPr>
          <w:trHeight w:val="496"/>
        </w:trPr>
        <w:tc>
          <w:tcPr>
            <w:tcW w:w="884" w:type="dxa"/>
            <w:shd w:val="pct15" w:color="auto" w:fill="auto"/>
            <w:tcMar>
              <w:top w:w="85" w:type="dxa"/>
              <w:bottom w:w="85" w:type="dxa"/>
            </w:tcMar>
          </w:tcPr>
          <w:p w14:paraId="66522BF2" w14:textId="2A9C73C2" w:rsidR="00DE27B7" w:rsidRPr="00DF3FEA" w:rsidRDefault="00DE27B7" w:rsidP="00115C41">
            <w:pPr>
              <w:pStyle w:val="BodyText"/>
              <w:keepNext/>
              <w:spacing w:after="120"/>
              <w:rPr>
                <w:rFonts w:ascii="Tahoma" w:hAnsi="Tahoma" w:cs="Tahoma"/>
                <w:b/>
              </w:rPr>
            </w:pPr>
            <w:r w:rsidRPr="00DF3FEA">
              <w:rPr>
                <w:rFonts w:ascii="Tahoma" w:hAnsi="Tahoma" w:cs="Tahoma"/>
                <w:b/>
              </w:rPr>
              <w:lastRenderedPageBreak/>
              <w:t>2</w:t>
            </w:r>
          </w:p>
        </w:tc>
        <w:tc>
          <w:tcPr>
            <w:tcW w:w="8325" w:type="dxa"/>
            <w:gridSpan w:val="2"/>
            <w:shd w:val="pct15" w:color="auto" w:fill="auto"/>
            <w:tcMar>
              <w:top w:w="85" w:type="dxa"/>
              <w:bottom w:w="85" w:type="dxa"/>
            </w:tcMar>
          </w:tcPr>
          <w:p w14:paraId="796CCB36" w14:textId="20691F30" w:rsidR="00DE27B7" w:rsidRPr="00DF3FEA" w:rsidRDefault="00F45745" w:rsidP="00115C41">
            <w:pPr>
              <w:pStyle w:val="BodyText"/>
              <w:keepNext/>
              <w:spacing w:after="120"/>
              <w:rPr>
                <w:rFonts w:ascii="Tahoma" w:hAnsi="Tahoma" w:cs="Tahoma"/>
                <w:b/>
              </w:rPr>
            </w:pPr>
            <w:r>
              <w:rPr>
                <w:rFonts w:ascii="Tahoma" w:hAnsi="Tahoma" w:cs="Tahoma"/>
                <w:b/>
              </w:rPr>
              <w:t>Update on D+1 model</w:t>
            </w:r>
            <w:r w:rsidR="009E4D84">
              <w:rPr>
                <w:rFonts w:ascii="Tahoma" w:hAnsi="Tahoma" w:cs="Tahoma"/>
                <w:b/>
              </w:rPr>
              <w:t xml:space="preserve"> </w:t>
            </w:r>
          </w:p>
        </w:tc>
      </w:tr>
      <w:tr w:rsidR="00DE27B7" w:rsidRPr="00DF3FEA" w14:paraId="4ACC5A4B" w14:textId="53498C51" w:rsidTr="000E340C">
        <w:trPr>
          <w:trHeight w:val="496"/>
        </w:trPr>
        <w:tc>
          <w:tcPr>
            <w:tcW w:w="884" w:type="dxa"/>
            <w:shd w:val="clear" w:color="auto" w:fill="auto"/>
            <w:tcMar>
              <w:top w:w="85" w:type="dxa"/>
              <w:bottom w:w="85" w:type="dxa"/>
            </w:tcMar>
          </w:tcPr>
          <w:p w14:paraId="2FA41262" w14:textId="77777777" w:rsidR="00DE27B7" w:rsidRPr="00DF3FEA" w:rsidRDefault="00DE27B7" w:rsidP="00E97535">
            <w:pPr>
              <w:pStyle w:val="BodyText"/>
              <w:rPr>
                <w:rFonts w:ascii="Tahoma" w:hAnsi="Tahoma" w:cs="Tahoma"/>
                <w:b/>
              </w:rPr>
            </w:pPr>
          </w:p>
        </w:tc>
        <w:tc>
          <w:tcPr>
            <w:tcW w:w="8325" w:type="dxa"/>
            <w:gridSpan w:val="2"/>
            <w:shd w:val="clear" w:color="auto" w:fill="auto"/>
            <w:tcMar>
              <w:top w:w="85" w:type="dxa"/>
              <w:bottom w:w="85" w:type="dxa"/>
            </w:tcMar>
          </w:tcPr>
          <w:p w14:paraId="1BA1E4F4" w14:textId="5F9625ED" w:rsidR="009E4D84" w:rsidRDefault="00F45745" w:rsidP="00F45745">
            <w:pPr>
              <w:pStyle w:val="ListBullet"/>
              <w:numPr>
                <w:ilvl w:val="0"/>
                <w:numId w:val="2"/>
              </w:numPr>
              <w:spacing w:before="40"/>
              <w:ind w:left="357" w:hanging="357"/>
              <w:contextualSpacing w:val="0"/>
              <w:rPr>
                <w:rFonts w:ascii="Tahoma" w:hAnsi="Tahoma" w:cs="Tahoma"/>
              </w:rPr>
            </w:pPr>
            <w:r>
              <w:rPr>
                <w:rFonts w:ascii="Tahoma" w:hAnsi="Tahoma" w:cs="Tahoma"/>
              </w:rPr>
              <w:t>Dave presented some analyses about the accuracy of breaking down pool allocations to gas gates</w:t>
            </w:r>
          </w:p>
          <w:p w14:paraId="27FFB533" w14:textId="2079D9B7" w:rsidR="00F45745" w:rsidRDefault="00F45745" w:rsidP="00F45745">
            <w:pPr>
              <w:pStyle w:val="ListBullet"/>
              <w:numPr>
                <w:ilvl w:val="0"/>
                <w:numId w:val="2"/>
              </w:numPr>
              <w:spacing w:before="40"/>
              <w:ind w:left="357" w:hanging="357"/>
              <w:contextualSpacing w:val="0"/>
              <w:rPr>
                <w:rFonts w:ascii="Tahoma" w:hAnsi="Tahoma" w:cs="Tahoma"/>
              </w:rPr>
            </w:pPr>
            <w:r>
              <w:rPr>
                <w:rFonts w:ascii="Tahoma" w:hAnsi="Tahoma" w:cs="Tahoma"/>
              </w:rPr>
              <w:lastRenderedPageBreak/>
              <w:t>Most of the error is in esti</w:t>
            </w:r>
            <w:r w:rsidR="00771468">
              <w:rPr>
                <w:rFonts w:ascii="Tahoma" w:hAnsi="Tahoma" w:cs="Tahoma"/>
              </w:rPr>
              <w:t>mating the group 2 consumption; Dave is not suggesting any changes to how the residual is allocated to gas gates</w:t>
            </w:r>
          </w:p>
          <w:p w14:paraId="7DA2134C" w14:textId="56F7000D" w:rsidR="00771468" w:rsidRDefault="00771468" w:rsidP="00F45745">
            <w:pPr>
              <w:pStyle w:val="ListBullet"/>
              <w:numPr>
                <w:ilvl w:val="0"/>
                <w:numId w:val="2"/>
              </w:numPr>
              <w:spacing w:before="40"/>
              <w:ind w:left="357" w:hanging="357"/>
              <w:contextualSpacing w:val="0"/>
              <w:rPr>
                <w:rFonts w:ascii="Tahoma" w:hAnsi="Tahoma" w:cs="Tahoma"/>
              </w:rPr>
            </w:pPr>
            <w:r>
              <w:rPr>
                <w:rFonts w:ascii="Tahoma" w:hAnsi="Tahoma" w:cs="Tahoma"/>
              </w:rPr>
              <w:t>One retailer suggested that publication of the residual by pool (a quasi-SADSV by pool) would be helpful</w:t>
            </w:r>
          </w:p>
          <w:p w14:paraId="5CC9D135" w14:textId="77777777" w:rsidR="00771468" w:rsidRPr="00EA5AE8" w:rsidRDefault="00771468" w:rsidP="00EA5AE8">
            <w:pPr>
              <w:pStyle w:val="ListBullet"/>
              <w:numPr>
                <w:ilvl w:val="0"/>
                <w:numId w:val="0"/>
              </w:numPr>
              <w:spacing w:before="40"/>
              <w:ind w:left="1526" w:hanging="850"/>
              <w:contextualSpacing w:val="0"/>
              <w:rPr>
                <w:rFonts w:ascii="Tahoma" w:hAnsi="Tahoma" w:cs="Tahoma"/>
              </w:rPr>
            </w:pPr>
            <w:r w:rsidRPr="00EA5AE8">
              <w:rPr>
                <w:rFonts w:ascii="Tahoma" w:hAnsi="Tahoma" w:cs="Tahoma"/>
                <w:b/>
                <w:i/>
                <w:u w:val="single"/>
              </w:rPr>
              <w:t>Action:</w:t>
            </w:r>
            <w:r w:rsidRPr="00EA5AE8">
              <w:rPr>
                <w:rFonts w:ascii="Tahoma" w:hAnsi="Tahoma" w:cs="Tahoma"/>
              </w:rPr>
              <w:t xml:space="preserve">  Dave to investigate publishing residual by pool</w:t>
            </w:r>
          </w:p>
          <w:p w14:paraId="223AF4C1" w14:textId="7AA3ADBB" w:rsidR="00F45745" w:rsidRPr="00EA5AE8" w:rsidRDefault="00771468" w:rsidP="00EA5AE8">
            <w:pPr>
              <w:pStyle w:val="ListBullet"/>
              <w:numPr>
                <w:ilvl w:val="0"/>
                <w:numId w:val="0"/>
              </w:numPr>
              <w:spacing w:before="40"/>
              <w:ind w:left="1526" w:hanging="850"/>
              <w:contextualSpacing w:val="0"/>
              <w:rPr>
                <w:rFonts w:ascii="Tahoma" w:hAnsi="Tahoma" w:cs="Tahoma"/>
                <w:b/>
                <w:i/>
                <w:u w:val="single"/>
              </w:rPr>
            </w:pPr>
            <w:r w:rsidRPr="00EA5AE8">
              <w:rPr>
                <w:rFonts w:ascii="Tahoma" w:hAnsi="Tahoma" w:cs="Tahoma"/>
                <w:b/>
                <w:i/>
                <w:u w:val="single"/>
              </w:rPr>
              <w:t>Action:</w:t>
            </w:r>
            <w:r w:rsidRPr="00EA5AE8">
              <w:rPr>
                <w:rFonts w:ascii="Tahoma" w:hAnsi="Tahoma" w:cs="Tahoma"/>
              </w:rPr>
              <w:t xml:space="preserve">  Dave to provide each shipper with their August allocations by gas gate</w:t>
            </w:r>
          </w:p>
        </w:tc>
      </w:tr>
      <w:tr w:rsidR="00DE27B7" w:rsidRPr="0084774A" w14:paraId="11C072FE" w14:textId="4F80241B" w:rsidTr="000E340C">
        <w:trPr>
          <w:trHeight w:val="496"/>
        </w:trPr>
        <w:tc>
          <w:tcPr>
            <w:tcW w:w="884" w:type="dxa"/>
            <w:shd w:val="clear" w:color="auto" w:fill="D9D9D9" w:themeFill="background1" w:themeFillShade="D9"/>
            <w:tcMar>
              <w:top w:w="85" w:type="dxa"/>
              <w:bottom w:w="85" w:type="dxa"/>
            </w:tcMar>
          </w:tcPr>
          <w:p w14:paraId="1CB0C258" w14:textId="751A26FB" w:rsidR="00DE27B7" w:rsidRPr="00DF3FEA" w:rsidRDefault="00DE27B7" w:rsidP="0084774A">
            <w:pPr>
              <w:pStyle w:val="BodyText"/>
              <w:spacing w:after="120"/>
              <w:rPr>
                <w:rFonts w:ascii="Tahoma" w:hAnsi="Tahoma" w:cs="Tahoma"/>
                <w:b/>
              </w:rPr>
            </w:pPr>
            <w:r w:rsidRPr="00DF3FEA">
              <w:rPr>
                <w:rFonts w:ascii="Tahoma" w:hAnsi="Tahoma" w:cs="Tahoma"/>
                <w:b/>
              </w:rPr>
              <w:lastRenderedPageBreak/>
              <w:t>3</w:t>
            </w:r>
          </w:p>
        </w:tc>
        <w:tc>
          <w:tcPr>
            <w:tcW w:w="8325" w:type="dxa"/>
            <w:gridSpan w:val="2"/>
            <w:shd w:val="clear" w:color="auto" w:fill="D9D9D9" w:themeFill="background1" w:themeFillShade="D9"/>
            <w:tcMar>
              <w:top w:w="85" w:type="dxa"/>
              <w:bottom w:w="85" w:type="dxa"/>
            </w:tcMar>
          </w:tcPr>
          <w:p w14:paraId="441C6E4E" w14:textId="51F1D76C" w:rsidR="00DE27B7" w:rsidRPr="00DF3FEA" w:rsidRDefault="00091670" w:rsidP="0084774A">
            <w:pPr>
              <w:pStyle w:val="BodyText"/>
              <w:spacing w:after="120"/>
              <w:rPr>
                <w:rFonts w:ascii="Tahoma" w:hAnsi="Tahoma" w:cs="Tahoma"/>
                <w:b/>
              </w:rPr>
            </w:pPr>
            <w:r>
              <w:rPr>
                <w:rFonts w:ascii="Tahoma" w:hAnsi="Tahoma" w:cs="Tahoma"/>
                <w:b/>
              </w:rPr>
              <w:t>Daily BPP update</w:t>
            </w:r>
          </w:p>
        </w:tc>
      </w:tr>
      <w:tr w:rsidR="00DE27B7" w:rsidRPr="00DF3FEA" w14:paraId="17A79911" w14:textId="545D4824" w:rsidTr="000E340C">
        <w:trPr>
          <w:trHeight w:val="496"/>
        </w:trPr>
        <w:tc>
          <w:tcPr>
            <w:tcW w:w="884" w:type="dxa"/>
            <w:shd w:val="clear" w:color="auto" w:fill="auto"/>
            <w:tcMar>
              <w:top w:w="85" w:type="dxa"/>
              <w:bottom w:w="85" w:type="dxa"/>
            </w:tcMar>
          </w:tcPr>
          <w:p w14:paraId="1F0826C8" w14:textId="77777777" w:rsidR="00DE27B7" w:rsidRPr="00DF3FEA" w:rsidRDefault="00DE27B7" w:rsidP="00E97535">
            <w:pPr>
              <w:pStyle w:val="BodyText"/>
              <w:rPr>
                <w:rFonts w:ascii="Tahoma" w:hAnsi="Tahoma" w:cs="Tahoma"/>
                <w:b/>
              </w:rPr>
            </w:pPr>
          </w:p>
        </w:tc>
        <w:tc>
          <w:tcPr>
            <w:tcW w:w="8325" w:type="dxa"/>
            <w:gridSpan w:val="2"/>
            <w:shd w:val="clear" w:color="auto" w:fill="auto"/>
            <w:tcMar>
              <w:top w:w="85" w:type="dxa"/>
              <w:bottom w:w="85" w:type="dxa"/>
            </w:tcMar>
          </w:tcPr>
          <w:p w14:paraId="4EFCF4C9" w14:textId="77777777" w:rsidR="00A76C0A" w:rsidRDefault="00091670" w:rsidP="00EB5ABB">
            <w:pPr>
              <w:pStyle w:val="ListBullet"/>
              <w:numPr>
                <w:ilvl w:val="0"/>
                <w:numId w:val="2"/>
              </w:numPr>
              <w:spacing w:before="40"/>
              <w:ind w:left="357" w:hanging="357"/>
              <w:contextualSpacing w:val="0"/>
              <w:rPr>
                <w:rFonts w:ascii="Tahoma" w:hAnsi="Tahoma" w:cs="Tahoma"/>
              </w:rPr>
            </w:pPr>
            <w:r>
              <w:rPr>
                <w:rFonts w:ascii="Tahoma" w:hAnsi="Tahoma" w:cs="Tahoma"/>
              </w:rPr>
              <w:t>Vector is targeting 1 November for production of daily BPP positions for its shippers</w:t>
            </w:r>
          </w:p>
          <w:p w14:paraId="2817F28C" w14:textId="04029C95" w:rsidR="00091670" w:rsidRDefault="00091670" w:rsidP="00710DC6">
            <w:pPr>
              <w:pStyle w:val="ListBullet"/>
              <w:numPr>
                <w:ilvl w:val="0"/>
                <w:numId w:val="2"/>
              </w:numPr>
              <w:spacing w:before="40"/>
              <w:ind w:left="357" w:hanging="357"/>
              <w:contextualSpacing w:val="0"/>
              <w:rPr>
                <w:rFonts w:ascii="Tahoma" w:hAnsi="Tahoma" w:cs="Tahoma"/>
              </w:rPr>
            </w:pPr>
            <w:r>
              <w:rPr>
                <w:rFonts w:ascii="Tahoma" w:hAnsi="Tahoma" w:cs="Tahoma"/>
              </w:rPr>
              <w:t xml:space="preserve">Providing daily BPP positions is resource-intensive; it is not a cost that Vector will be happy about </w:t>
            </w:r>
            <w:r w:rsidR="00710DC6">
              <w:rPr>
                <w:rFonts w:ascii="Tahoma" w:hAnsi="Tahoma" w:cs="Tahoma"/>
              </w:rPr>
              <w:t>meeting indefinitely</w:t>
            </w:r>
            <w:r w:rsidR="008D5D07">
              <w:rPr>
                <w:rFonts w:ascii="Tahoma" w:hAnsi="Tahoma" w:cs="Tahoma"/>
              </w:rPr>
              <w:t>.  Vector does not consider that it is Vector transmission’s sole responsibility to provide this information</w:t>
            </w:r>
            <w:r w:rsidR="00BD1BB0">
              <w:rPr>
                <w:rFonts w:ascii="Tahoma" w:hAnsi="Tahoma" w:cs="Tahoma"/>
              </w:rPr>
              <w:t xml:space="preserve"> as Vector derives no benefit from the information</w:t>
            </w:r>
            <w:r w:rsidR="00A27996">
              <w:rPr>
                <w:rFonts w:ascii="Tahoma" w:hAnsi="Tahoma" w:cs="Tahoma"/>
              </w:rPr>
              <w:t xml:space="preserve">. It was noted that GIC has no </w:t>
            </w:r>
            <w:r w:rsidR="00BD1BB0">
              <w:rPr>
                <w:rFonts w:ascii="Tahoma" w:hAnsi="Tahoma" w:cs="Tahoma"/>
              </w:rPr>
              <w:t xml:space="preserve">explicit </w:t>
            </w:r>
            <w:r w:rsidR="00A27996">
              <w:rPr>
                <w:rFonts w:ascii="Tahoma" w:hAnsi="Tahoma" w:cs="Tahoma"/>
              </w:rPr>
              <w:t xml:space="preserve">provision in its budget </w:t>
            </w:r>
            <w:r w:rsidR="00BD1BB0">
              <w:rPr>
                <w:rFonts w:ascii="Tahoma" w:hAnsi="Tahoma" w:cs="Tahoma"/>
              </w:rPr>
              <w:t>for such costs and Vector may need to look to its customers.</w:t>
            </w:r>
          </w:p>
          <w:p w14:paraId="3A0F67C5" w14:textId="77777777" w:rsidR="008D5D07" w:rsidRPr="007871D1" w:rsidRDefault="008D5D07" w:rsidP="007871D1">
            <w:pPr>
              <w:pStyle w:val="ListBullet"/>
              <w:numPr>
                <w:ilvl w:val="0"/>
                <w:numId w:val="0"/>
              </w:numPr>
              <w:spacing w:before="240"/>
              <w:contextualSpacing w:val="0"/>
              <w:rPr>
                <w:rFonts w:ascii="Tahoma" w:hAnsi="Tahoma" w:cs="Tahoma"/>
                <w:b/>
                <w:u w:val="single"/>
              </w:rPr>
            </w:pPr>
            <w:r w:rsidRPr="007871D1">
              <w:rPr>
                <w:rFonts w:ascii="Tahoma" w:hAnsi="Tahoma" w:cs="Tahoma"/>
                <w:b/>
                <w:u w:val="single"/>
              </w:rPr>
              <w:t>On wash-ups:</w:t>
            </w:r>
          </w:p>
          <w:p w14:paraId="10761833" w14:textId="159C6A8E" w:rsidR="008D5D07" w:rsidRDefault="008D5D07" w:rsidP="00710DC6">
            <w:pPr>
              <w:pStyle w:val="ListBullet"/>
              <w:numPr>
                <w:ilvl w:val="0"/>
                <w:numId w:val="2"/>
              </w:numPr>
              <w:spacing w:before="40"/>
              <w:ind w:left="357" w:hanging="357"/>
              <w:contextualSpacing w:val="0"/>
              <w:rPr>
                <w:rFonts w:ascii="Tahoma" w:hAnsi="Tahoma" w:cs="Tahoma"/>
              </w:rPr>
            </w:pPr>
            <w:r>
              <w:rPr>
                <w:rFonts w:ascii="Tahoma" w:hAnsi="Tahoma" w:cs="Tahoma"/>
              </w:rPr>
              <w:t>Chris Bolton is sending a spreadsheet to shippers outlining 3 different wash-up options (physical, financial, and hybrid) and asking shippers to vote</w:t>
            </w:r>
            <w:r w:rsidR="0069081E">
              <w:rPr>
                <w:rFonts w:ascii="Tahoma" w:hAnsi="Tahoma" w:cs="Tahoma"/>
              </w:rPr>
              <w:t>.  For all the options, the starting mismatch for each day doesn’t change</w:t>
            </w:r>
          </w:p>
          <w:p w14:paraId="5CA9F718" w14:textId="77777777" w:rsidR="008D5D07" w:rsidRDefault="008D5D07" w:rsidP="00710DC6">
            <w:pPr>
              <w:pStyle w:val="ListBullet"/>
              <w:numPr>
                <w:ilvl w:val="0"/>
                <w:numId w:val="2"/>
              </w:numPr>
              <w:spacing w:before="40"/>
              <w:ind w:left="357" w:hanging="357"/>
              <w:contextualSpacing w:val="0"/>
              <w:rPr>
                <w:rFonts w:ascii="Tahoma" w:hAnsi="Tahoma" w:cs="Tahoma"/>
              </w:rPr>
            </w:pPr>
            <w:r>
              <w:rPr>
                <w:rFonts w:ascii="Tahoma" w:hAnsi="Tahoma" w:cs="Tahoma"/>
              </w:rPr>
              <w:t>The outcome will most likely be implemented by side letter for the purposes of the trial and will need to include an indemnity for Vector</w:t>
            </w:r>
          </w:p>
          <w:p w14:paraId="7F7933D9" w14:textId="77777777" w:rsidR="00A47308" w:rsidRDefault="00A47308" w:rsidP="00710DC6">
            <w:pPr>
              <w:pStyle w:val="ListBullet"/>
              <w:numPr>
                <w:ilvl w:val="0"/>
                <w:numId w:val="2"/>
              </w:numPr>
              <w:spacing w:before="40"/>
              <w:ind w:left="357" w:hanging="357"/>
              <w:contextualSpacing w:val="0"/>
              <w:rPr>
                <w:rFonts w:ascii="Tahoma" w:hAnsi="Tahoma" w:cs="Tahoma"/>
              </w:rPr>
            </w:pPr>
            <w:r>
              <w:rPr>
                <w:rFonts w:ascii="Tahoma" w:hAnsi="Tahoma" w:cs="Tahoma"/>
              </w:rPr>
              <w:t>The side letter needs to be in place 1 October (or if later, then there needs to be agreement about how retrospective wash-ups are handled)</w:t>
            </w:r>
          </w:p>
          <w:p w14:paraId="6A5E4981" w14:textId="77777777" w:rsidR="00A47308" w:rsidRDefault="0069081E" w:rsidP="00710DC6">
            <w:pPr>
              <w:pStyle w:val="ListBullet"/>
              <w:numPr>
                <w:ilvl w:val="0"/>
                <w:numId w:val="2"/>
              </w:numPr>
              <w:spacing w:before="40"/>
              <w:ind w:left="357" w:hanging="357"/>
              <w:contextualSpacing w:val="0"/>
              <w:rPr>
                <w:rFonts w:ascii="Tahoma" w:hAnsi="Tahoma" w:cs="Tahoma"/>
              </w:rPr>
            </w:pPr>
            <w:r>
              <w:rPr>
                <w:rFonts w:ascii="Tahoma" w:hAnsi="Tahoma" w:cs="Tahoma"/>
              </w:rPr>
              <w:t>There also needs to be a decision on how the wash-ups for the consumption months prior to October will be treated.  One suggestion was that the volumes that normally would be added to shippers’ positions in October and November (as a result of interim and final allocations run in September and October) be held until December, when shippers will be receiving daily BPP positions and better able to manage the effects of the returned volumes.</w:t>
            </w:r>
          </w:p>
          <w:p w14:paraId="5C02B204" w14:textId="77777777" w:rsidR="0069081E" w:rsidRPr="007871D1" w:rsidRDefault="0069081E" w:rsidP="00710DC6">
            <w:pPr>
              <w:pStyle w:val="ListBullet"/>
              <w:numPr>
                <w:ilvl w:val="0"/>
                <w:numId w:val="2"/>
              </w:numPr>
              <w:spacing w:before="40"/>
              <w:ind w:left="357" w:hanging="357"/>
              <w:contextualSpacing w:val="0"/>
              <w:rPr>
                <w:rFonts w:ascii="Tahoma" w:hAnsi="Tahoma" w:cs="Tahoma"/>
              </w:rPr>
            </w:pPr>
            <w:r w:rsidRPr="007871D1">
              <w:rPr>
                <w:rFonts w:ascii="Tahoma" w:hAnsi="Tahoma" w:cs="Tahoma"/>
                <w:b/>
                <w:i/>
                <w:u w:val="single"/>
              </w:rPr>
              <w:t>Action:</w:t>
            </w:r>
            <w:r w:rsidRPr="007871D1">
              <w:rPr>
                <w:rFonts w:ascii="Tahoma" w:hAnsi="Tahoma" w:cs="Tahoma"/>
              </w:rPr>
              <w:t xml:space="preserve">  Chris to include question about treatment of prior consumption months in his email to shippers asking about wash-up methodology preference</w:t>
            </w:r>
          </w:p>
          <w:p w14:paraId="2694D627" w14:textId="44572B63" w:rsidR="0069081E" w:rsidRDefault="00C23CA8" w:rsidP="00710DC6">
            <w:pPr>
              <w:pStyle w:val="ListBullet"/>
              <w:numPr>
                <w:ilvl w:val="0"/>
                <w:numId w:val="2"/>
              </w:numPr>
              <w:spacing w:before="40"/>
              <w:ind w:left="357" w:hanging="357"/>
              <w:contextualSpacing w:val="0"/>
              <w:rPr>
                <w:rFonts w:ascii="Tahoma" w:hAnsi="Tahoma" w:cs="Tahoma"/>
              </w:rPr>
            </w:pPr>
            <w:r>
              <w:rPr>
                <w:rFonts w:ascii="Tahoma" w:hAnsi="Tahoma" w:cs="Tahoma"/>
              </w:rPr>
              <w:t>BPP calculations will need to account for any changes in MDL cashouts due to metering volume differences between unvalidated and validated data.  This situation will arise every weekend.  There was a lot of discussion about this point.  It would work much better for Vector shippers if any corrections could be applied forward rather than retrospectively correcting past days.</w:t>
            </w:r>
          </w:p>
          <w:p w14:paraId="5F283FD1" w14:textId="7957C87B" w:rsidR="00C23CA8" w:rsidRPr="007871D1" w:rsidRDefault="00C23CA8" w:rsidP="007871D1">
            <w:pPr>
              <w:pStyle w:val="ListBullet"/>
              <w:numPr>
                <w:ilvl w:val="0"/>
                <w:numId w:val="0"/>
              </w:numPr>
              <w:spacing w:before="40"/>
              <w:ind w:left="1526" w:hanging="850"/>
              <w:contextualSpacing w:val="0"/>
              <w:rPr>
                <w:rFonts w:ascii="Tahoma" w:hAnsi="Tahoma" w:cs="Tahoma"/>
              </w:rPr>
            </w:pPr>
            <w:r w:rsidRPr="007871D1">
              <w:rPr>
                <w:rFonts w:ascii="Tahoma" w:hAnsi="Tahoma" w:cs="Tahoma"/>
                <w:b/>
                <w:i/>
                <w:u w:val="single"/>
              </w:rPr>
              <w:t>Action:</w:t>
            </w:r>
            <w:r w:rsidRPr="007871D1">
              <w:rPr>
                <w:rFonts w:ascii="Tahoma" w:hAnsi="Tahoma" w:cs="Tahoma"/>
              </w:rPr>
              <w:t xml:space="preserve">  Jim is going to approach MDL about this issue</w:t>
            </w:r>
          </w:p>
          <w:p w14:paraId="37B30D12" w14:textId="1C299F90" w:rsidR="00C23CA8" w:rsidRPr="007871D1" w:rsidRDefault="00C23CA8" w:rsidP="007871D1">
            <w:pPr>
              <w:pStyle w:val="ListBullet"/>
              <w:numPr>
                <w:ilvl w:val="0"/>
                <w:numId w:val="0"/>
              </w:numPr>
              <w:spacing w:before="240"/>
              <w:contextualSpacing w:val="0"/>
              <w:rPr>
                <w:rFonts w:ascii="Tahoma" w:hAnsi="Tahoma" w:cs="Tahoma"/>
                <w:b/>
                <w:u w:val="single"/>
              </w:rPr>
            </w:pPr>
            <w:r w:rsidRPr="007871D1">
              <w:rPr>
                <w:rFonts w:ascii="Tahoma" w:hAnsi="Tahoma" w:cs="Tahoma"/>
                <w:b/>
                <w:u w:val="single"/>
              </w:rPr>
              <w:t xml:space="preserve">On special </w:t>
            </w:r>
            <w:r w:rsidR="007871D1" w:rsidRPr="007871D1">
              <w:rPr>
                <w:rFonts w:ascii="Tahoma" w:hAnsi="Tahoma" w:cs="Tahoma"/>
                <w:b/>
                <w:u w:val="single"/>
              </w:rPr>
              <w:t>allocations</w:t>
            </w:r>
            <w:r w:rsidRPr="007871D1">
              <w:rPr>
                <w:rFonts w:ascii="Tahoma" w:hAnsi="Tahoma" w:cs="Tahoma"/>
                <w:b/>
                <w:u w:val="single"/>
              </w:rPr>
              <w:t>:</w:t>
            </w:r>
          </w:p>
          <w:p w14:paraId="6B094513" w14:textId="42A2C809" w:rsidR="00C23CA8" w:rsidRDefault="00071D4E" w:rsidP="00710DC6">
            <w:pPr>
              <w:pStyle w:val="ListBullet"/>
              <w:numPr>
                <w:ilvl w:val="0"/>
                <w:numId w:val="2"/>
              </w:numPr>
              <w:spacing w:before="40"/>
              <w:ind w:left="357" w:hanging="357"/>
              <w:contextualSpacing w:val="0"/>
              <w:rPr>
                <w:rFonts w:ascii="Tahoma" w:hAnsi="Tahoma" w:cs="Tahoma"/>
              </w:rPr>
            </w:pPr>
            <w:r>
              <w:rPr>
                <w:rFonts w:ascii="Tahoma" w:hAnsi="Tahoma" w:cs="Tahoma"/>
              </w:rPr>
              <w:t>Vector has an issue with how UFG is calculated under the VTC, which uses measured gas quantities in its calculation.  UFG is a component of Vector Running Imbalance and an input into the BPP calculations.  At the moment, allocations are also based on validated, measured gas quantities.  But D+1 uses the data available when it runs, and, in the case of meters that are not read every day, uses estimates.  Thus there is a potential mismatch between data sources if the D+1 results were to be used as a substitute for the initial allocation.  Vector intends to explain the issue in detail in its submission on special allocations</w:t>
            </w:r>
          </w:p>
          <w:p w14:paraId="40050B13" w14:textId="77777777" w:rsidR="00071D4E" w:rsidRDefault="00071D4E" w:rsidP="00710DC6">
            <w:pPr>
              <w:pStyle w:val="ListBullet"/>
              <w:numPr>
                <w:ilvl w:val="0"/>
                <w:numId w:val="2"/>
              </w:numPr>
              <w:spacing w:before="40"/>
              <w:ind w:left="357" w:hanging="357"/>
              <w:contextualSpacing w:val="0"/>
              <w:rPr>
                <w:rFonts w:ascii="Tahoma" w:hAnsi="Tahoma" w:cs="Tahoma"/>
              </w:rPr>
            </w:pPr>
            <w:r>
              <w:rPr>
                <w:rFonts w:ascii="Tahoma" w:hAnsi="Tahoma" w:cs="Tahoma"/>
              </w:rPr>
              <w:t>Some members noted that any differences would be able to be washed up at the interim allocation stage</w:t>
            </w:r>
          </w:p>
          <w:p w14:paraId="6A133F6D" w14:textId="77777777" w:rsidR="00C23CA8" w:rsidRDefault="00071D4E" w:rsidP="00071D4E">
            <w:pPr>
              <w:pStyle w:val="ListBullet"/>
              <w:numPr>
                <w:ilvl w:val="0"/>
                <w:numId w:val="2"/>
              </w:numPr>
              <w:spacing w:before="40"/>
              <w:ind w:left="357" w:hanging="357"/>
              <w:contextualSpacing w:val="0"/>
              <w:rPr>
                <w:rFonts w:ascii="Tahoma" w:hAnsi="Tahoma" w:cs="Tahoma"/>
              </w:rPr>
            </w:pPr>
            <w:r>
              <w:rPr>
                <w:rFonts w:ascii="Tahoma" w:hAnsi="Tahoma" w:cs="Tahoma"/>
              </w:rPr>
              <w:t>Because it will be affected by the wash-up method, Vector transmission should also vote on its preferred wash-up method</w:t>
            </w:r>
          </w:p>
          <w:p w14:paraId="7F751DD2" w14:textId="77777777" w:rsidR="00F06B69" w:rsidRDefault="00F06B69" w:rsidP="000A32D2">
            <w:pPr>
              <w:pStyle w:val="ListBullet"/>
              <w:numPr>
                <w:ilvl w:val="0"/>
                <w:numId w:val="0"/>
              </w:numPr>
              <w:spacing w:before="40"/>
              <w:contextualSpacing w:val="0"/>
              <w:rPr>
                <w:rFonts w:ascii="Tahoma" w:hAnsi="Tahoma" w:cs="Tahoma"/>
              </w:rPr>
            </w:pPr>
            <w:bookmarkStart w:id="0" w:name="_GoBack"/>
            <w:bookmarkEnd w:id="0"/>
          </w:p>
          <w:p w14:paraId="3D37904C" w14:textId="3F437269" w:rsidR="00F06B69" w:rsidRPr="00071D4E" w:rsidRDefault="00F06B69" w:rsidP="00F06B69">
            <w:pPr>
              <w:pStyle w:val="ListBullet"/>
              <w:numPr>
                <w:ilvl w:val="0"/>
                <w:numId w:val="0"/>
              </w:numPr>
              <w:spacing w:before="40"/>
              <w:ind w:left="360" w:hanging="360"/>
              <w:contextualSpacing w:val="0"/>
              <w:rPr>
                <w:rFonts w:ascii="Tahoma" w:hAnsi="Tahoma" w:cs="Tahoma"/>
              </w:rPr>
            </w:pPr>
          </w:p>
        </w:tc>
      </w:tr>
      <w:tr w:rsidR="00DE27B7" w:rsidRPr="0084774A" w14:paraId="0641C8B1" w14:textId="11C37DE4" w:rsidTr="000E340C">
        <w:trPr>
          <w:trHeight w:val="496"/>
        </w:trPr>
        <w:tc>
          <w:tcPr>
            <w:tcW w:w="884" w:type="dxa"/>
            <w:shd w:val="clear" w:color="auto" w:fill="D9D9D9" w:themeFill="background1" w:themeFillShade="D9"/>
            <w:tcMar>
              <w:top w:w="85" w:type="dxa"/>
              <w:bottom w:w="85" w:type="dxa"/>
            </w:tcMar>
          </w:tcPr>
          <w:p w14:paraId="6BAC8B18" w14:textId="4331281C" w:rsidR="00DE27B7" w:rsidRPr="00DF3FEA" w:rsidRDefault="00594E96" w:rsidP="0084774A">
            <w:pPr>
              <w:pStyle w:val="BodyText"/>
              <w:spacing w:after="120"/>
              <w:rPr>
                <w:rFonts w:ascii="Tahoma" w:hAnsi="Tahoma" w:cs="Tahoma"/>
                <w:b/>
              </w:rPr>
            </w:pPr>
            <w:r>
              <w:rPr>
                <w:rFonts w:ascii="Tahoma" w:hAnsi="Tahoma" w:cs="Tahoma"/>
                <w:b/>
              </w:rPr>
              <w:lastRenderedPageBreak/>
              <w:t>4</w:t>
            </w:r>
          </w:p>
        </w:tc>
        <w:tc>
          <w:tcPr>
            <w:tcW w:w="8325" w:type="dxa"/>
            <w:gridSpan w:val="2"/>
            <w:shd w:val="clear" w:color="auto" w:fill="D9D9D9" w:themeFill="background1" w:themeFillShade="D9"/>
            <w:tcMar>
              <w:top w:w="85" w:type="dxa"/>
              <w:bottom w:w="85" w:type="dxa"/>
            </w:tcMar>
          </w:tcPr>
          <w:p w14:paraId="55610676" w14:textId="1F94A8B0" w:rsidR="00DE27B7" w:rsidRPr="00DF3FEA" w:rsidRDefault="0042112B" w:rsidP="00431766">
            <w:pPr>
              <w:pStyle w:val="BodyText"/>
              <w:keepNext/>
              <w:spacing w:after="120"/>
              <w:rPr>
                <w:rFonts w:ascii="Tahoma" w:hAnsi="Tahoma" w:cs="Tahoma"/>
                <w:b/>
              </w:rPr>
            </w:pPr>
            <w:r>
              <w:rPr>
                <w:rFonts w:ascii="Tahoma" w:hAnsi="Tahoma" w:cs="Tahoma"/>
                <w:b/>
              </w:rPr>
              <w:t>Update on GTA VTC change</w:t>
            </w:r>
          </w:p>
        </w:tc>
      </w:tr>
      <w:tr w:rsidR="000E340C" w:rsidRPr="00DF3FEA" w14:paraId="17B2C065" w14:textId="77777777" w:rsidTr="000E340C">
        <w:trPr>
          <w:trHeight w:val="496"/>
        </w:trPr>
        <w:tc>
          <w:tcPr>
            <w:tcW w:w="884" w:type="dxa"/>
            <w:shd w:val="clear" w:color="auto" w:fill="auto"/>
            <w:tcMar>
              <w:top w:w="85" w:type="dxa"/>
              <w:bottom w:w="85" w:type="dxa"/>
            </w:tcMar>
          </w:tcPr>
          <w:p w14:paraId="11CE1E7A" w14:textId="77777777" w:rsidR="000E340C" w:rsidRPr="00DF3FEA" w:rsidRDefault="000E340C" w:rsidP="00D926BF">
            <w:pPr>
              <w:pStyle w:val="BodyText"/>
              <w:rPr>
                <w:rFonts w:ascii="Tahoma" w:hAnsi="Tahoma" w:cs="Tahoma"/>
                <w:b/>
              </w:rPr>
            </w:pPr>
          </w:p>
        </w:tc>
        <w:tc>
          <w:tcPr>
            <w:tcW w:w="8325" w:type="dxa"/>
            <w:gridSpan w:val="2"/>
            <w:shd w:val="clear" w:color="auto" w:fill="auto"/>
            <w:tcMar>
              <w:top w:w="85" w:type="dxa"/>
              <w:bottom w:w="85" w:type="dxa"/>
            </w:tcMar>
          </w:tcPr>
          <w:p w14:paraId="1988E9BC" w14:textId="77777777" w:rsidR="00CC6083" w:rsidRDefault="00071D4E" w:rsidP="00EB5ABB">
            <w:pPr>
              <w:pStyle w:val="ListBullet"/>
              <w:numPr>
                <w:ilvl w:val="0"/>
                <w:numId w:val="2"/>
              </w:numPr>
              <w:spacing w:before="40"/>
              <w:ind w:left="357" w:hanging="357"/>
              <w:contextualSpacing w:val="0"/>
              <w:rPr>
                <w:rFonts w:ascii="Tahoma" w:hAnsi="Tahoma" w:cs="Tahoma"/>
              </w:rPr>
            </w:pPr>
            <w:r>
              <w:rPr>
                <w:rFonts w:ascii="Tahoma" w:hAnsi="Tahoma" w:cs="Tahoma"/>
              </w:rPr>
              <w:t>Submissions on the VTC change were due 11 September.  The change will allow the timetable for submitting GTA information to be published on Vector Oatis</w:t>
            </w:r>
          </w:p>
          <w:p w14:paraId="2B73E206" w14:textId="733DACA2" w:rsidR="00071D4E" w:rsidRDefault="00071D4E" w:rsidP="00EB5ABB">
            <w:pPr>
              <w:pStyle w:val="ListBullet"/>
              <w:numPr>
                <w:ilvl w:val="0"/>
                <w:numId w:val="2"/>
              </w:numPr>
              <w:spacing w:before="40"/>
              <w:ind w:left="357" w:hanging="357"/>
              <w:contextualSpacing w:val="0"/>
              <w:rPr>
                <w:rFonts w:ascii="Tahoma" w:hAnsi="Tahoma" w:cs="Tahoma"/>
              </w:rPr>
            </w:pPr>
            <w:r>
              <w:rPr>
                <w:rFonts w:ascii="Tahoma" w:hAnsi="Tahoma" w:cs="Tahoma"/>
              </w:rPr>
              <w:t xml:space="preserve">Tim </w:t>
            </w:r>
            <w:r w:rsidR="00BD1BB0">
              <w:rPr>
                <w:rFonts w:ascii="Tahoma" w:hAnsi="Tahoma" w:cs="Tahoma"/>
              </w:rPr>
              <w:t xml:space="preserve">Bush </w:t>
            </w:r>
            <w:r>
              <w:rPr>
                <w:rFonts w:ascii="Tahoma" w:hAnsi="Tahoma" w:cs="Tahoma"/>
              </w:rPr>
              <w:t>will be sending shippers the standard file format to use for submitting GTA information</w:t>
            </w:r>
          </w:p>
        </w:tc>
      </w:tr>
      <w:tr w:rsidR="00105946" w:rsidRPr="00D84C4B" w14:paraId="6A6FE267" w14:textId="77777777" w:rsidTr="00D84C4B">
        <w:trPr>
          <w:trHeight w:val="496"/>
        </w:trPr>
        <w:tc>
          <w:tcPr>
            <w:tcW w:w="884" w:type="dxa"/>
            <w:shd w:val="clear" w:color="auto" w:fill="BFBFBF" w:themeFill="background1" w:themeFillShade="BF"/>
            <w:tcMar>
              <w:top w:w="85" w:type="dxa"/>
              <w:bottom w:w="85" w:type="dxa"/>
            </w:tcMar>
          </w:tcPr>
          <w:p w14:paraId="68C0130F" w14:textId="347B7EA1" w:rsidR="00105946" w:rsidRPr="00DF3FEA" w:rsidRDefault="00105946" w:rsidP="00115C41">
            <w:pPr>
              <w:pStyle w:val="BodyText"/>
              <w:keepNext/>
              <w:spacing w:after="120"/>
              <w:rPr>
                <w:rFonts w:ascii="Tahoma" w:hAnsi="Tahoma" w:cs="Tahoma"/>
                <w:b/>
              </w:rPr>
            </w:pPr>
            <w:r>
              <w:rPr>
                <w:rFonts w:ascii="Tahoma" w:hAnsi="Tahoma" w:cs="Tahoma"/>
                <w:b/>
              </w:rPr>
              <w:t>5</w:t>
            </w:r>
          </w:p>
        </w:tc>
        <w:tc>
          <w:tcPr>
            <w:tcW w:w="8325" w:type="dxa"/>
            <w:gridSpan w:val="2"/>
            <w:shd w:val="clear" w:color="auto" w:fill="BFBFBF" w:themeFill="background1" w:themeFillShade="BF"/>
            <w:tcMar>
              <w:top w:w="85" w:type="dxa"/>
              <w:bottom w:w="85" w:type="dxa"/>
            </w:tcMar>
          </w:tcPr>
          <w:p w14:paraId="2BA81665" w14:textId="76AF047C" w:rsidR="00105946" w:rsidRPr="00105946" w:rsidRDefault="0042112B" w:rsidP="00115C41">
            <w:pPr>
              <w:pStyle w:val="BodyText"/>
              <w:keepNext/>
              <w:spacing w:after="120"/>
              <w:rPr>
                <w:rFonts w:ascii="Tahoma" w:hAnsi="Tahoma" w:cs="Tahoma"/>
                <w:b/>
              </w:rPr>
            </w:pPr>
            <w:r>
              <w:rPr>
                <w:rFonts w:ascii="Tahoma" w:hAnsi="Tahoma" w:cs="Tahoma"/>
                <w:b/>
              </w:rPr>
              <w:t>Update on wash-up process</w:t>
            </w:r>
          </w:p>
        </w:tc>
      </w:tr>
      <w:tr w:rsidR="00105946" w:rsidRPr="00DF3FEA" w14:paraId="39151B7F" w14:textId="77777777" w:rsidTr="000E340C">
        <w:trPr>
          <w:trHeight w:val="496"/>
        </w:trPr>
        <w:tc>
          <w:tcPr>
            <w:tcW w:w="884" w:type="dxa"/>
            <w:shd w:val="clear" w:color="auto" w:fill="auto"/>
            <w:tcMar>
              <w:top w:w="85" w:type="dxa"/>
              <w:bottom w:w="85" w:type="dxa"/>
            </w:tcMar>
          </w:tcPr>
          <w:p w14:paraId="1001DBF8" w14:textId="77777777" w:rsidR="00105946" w:rsidRDefault="00105946" w:rsidP="00D926BF">
            <w:pPr>
              <w:pStyle w:val="BodyText"/>
              <w:rPr>
                <w:rFonts w:ascii="Tahoma" w:hAnsi="Tahoma" w:cs="Tahoma"/>
                <w:b/>
              </w:rPr>
            </w:pPr>
          </w:p>
        </w:tc>
        <w:tc>
          <w:tcPr>
            <w:tcW w:w="8325" w:type="dxa"/>
            <w:gridSpan w:val="2"/>
            <w:shd w:val="clear" w:color="auto" w:fill="auto"/>
            <w:tcMar>
              <w:top w:w="85" w:type="dxa"/>
              <w:bottom w:w="85" w:type="dxa"/>
            </w:tcMar>
          </w:tcPr>
          <w:p w14:paraId="3260727E" w14:textId="040390EB" w:rsidR="00105946" w:rsidRPr="001C3F6D" w:rsidRDefault="0042112B" w:rsidP="00EB5ABB">
            <w:pPr>
              <w:pStyle w:val="ListBullet"/>
              <w:numPr>
                <w:ilvl w:val="0"/>
                <w:numId w:val="0"/>
              </w:numPr>
              <w:spacing w:before="60"/>
              <w:ind w:left="357" w:hanging="357"/>
              <w:contextualSpacing w:val="0"/>
              <w:rPr>
                <w:rFonts w:ascii="Tahoma" w:hAnsi="Tahoma" w:cs="Tahoma"/>
              </w:rPr>
            </w:pPr>
            <w:r>
              <w:rPr>
                <w:rFonts w:ascii="Tahoma" w:hAnsi="Tahoma" w:cs="Tahoma"/>
              </w:rPr>
              <w:t>Discussed under #3 above</w:t>
            </w:r>
          </w:p>
        </w:tc>
      </w:tr>
      <w:tr w:rsidR="000E340C" w:rsidRPr="0084774A" w14:paraId="3CA676BD" w14:textId="77777777" w:rsidTr="000E340C">
        <w:trPr>
          <w:trHeight w:val="496"/>
        </w:trPr>
        <w:tc>
          <w:tcPr>
            <w:tcW w:w="884" w:type="dxa"/>
            <w:shd w:val="clear" w:color="auto" w:fill="D9D9D9" w:themeFill="background1" w:themeFillShade="D9"/>
            <w:tcMar>
              <w:top w:w="85" w:type="dxa"/>
              <w:bottom w:w="85" w:type="dxa"/>
            </w:tcMar>
          </w:tcPr>
          <w:p w14:paraId="34DD8EF0" w14:textId="516D3CFE" w:rsidR="000E340C" w:rsidRDefault="0042112B" w:rsidP="0084774A">
            <w:pPr>
              <w:pStyle w:val="BodyText"/>
              <w:spacing w:after="120"/>
              <w:rPr>
                <w:rFonts w:ascii="Tahoma" w:hAnsi="Tahoma" w:cs="Tahoma"/>
                <w:b/>
              </w:rPr>
            </w:pPr>
            <w:r>
              <w:rPr>
                <w:rFonts w:ascii="Tahoma" w:hAnsi="Tahoma" w:cs="Tahoma"/>
                <w:b/>
              </w:rPr>
              <w:t>6</w:t>
            </w:r>
          </w:p>
        </w:tc>
        <w:tc>
          <w:tcPr>
            <w:tcW w:w="8325" w:type="dxa"/>
            <w:gridSpan w:val="2"/>
            <w:shd w:val="clear" w:color="auto" w:fill="D9D9D9" w:themeFill="background1" w:themeFillShade="D9"/>
            <w:tcMar>
              <w:top w:w="85" w:type="dxa"/>
              <w:bottom w:w="85" w:type="dxa"/>
            </w:tcMar>
          </w:tcPr>
          <w:p w14:paraId="32C14CA7" w14:textId="764CE803" w:rsidR="000E340C" w:rsidRDefault="000E340C" w:rsidP="0084774A">
            <w:pPr>
              <w:pStyle w:val="BodyText"/>
              <w:spacing w:after="120"/>
              <w:rPr>
                <w:rFonts w:ascii="Tahoma" w:hAnsi="Tahoma" w:cs="Tahoma"/>
                <w:b/>
              </w:rPr>
            </w:pPr>
            <w:r>
              <w:rPr>
                <w:rFonts w:ascii="Tahoma" w:hAnsi="Tahoma" w:cs="Tahoma"/>
                <w:b/>
              </w:rPr>
              <w:t>Next meeting</w:t>
            </w:r>
          </w:p>
        </w:tc>
      </w:tr>
      <w:tr w:rsidR="000E340C" w:rsidRPr="00DF3FEA" w14:paraId="42B55A2C" w14:textId="77777777" w:rsidTr="000E340C">
        <w:trPr>
          <w:trHeight w:val="496"/>
        </w:trPr>
        <w:tc>
          <w:tcPr>
            <w:tcW w:w="884" w:type="dxa"/>
            <w:shd w:val="clear" w:color="auto" w:fill="auto"/>
            <w:tcMar>
              <w:top w:w="85" w:type="dxa"/>
              <w:bottom w:w="85" w:type="dxa"/>
            </w:tcMar>
          </w:tcPr>
          <w:p w14:paraId="565A692D" w14:textId="77777777" w:rsidR="000E340C" w:rsidRPr="00DF3FEA" w:rsidRDefault="000E340C" w:rsidP="000E340C">
            <w:pPr>
              <w:pStyle w:val="BodyText"/>
              <w:rPr>
                <w:rFonts w:ascii="Tahoma" w:hAnsi="Tahoma" w:cs="Tahoma"/>
              </w:rPr>
            </w:pPr>
          </w:p>
        </w:tc>
        <w:tc>
          <w:tcPr>
            <w:tcW w:w="8325" w:type="dxa"/>
            <w:gridSpan w:val="2"/>
            <w:shd w:val="clear" w:color="auto" w:fill="auto"/>
            <w:tcMar>
              <w:top w:w="85" w:type="dxa"/>
              <w:bottom w:w="85" w:type="dxa"/>
            </w:tcMar>
          </w:tcPr>
          <w:p w14:paraId="6581BF82" w14:textId="3C8788B3" w:rsidR="000E340C" w:rsidRPr="00DF3FEA" w:rsidRDefault="000E340C" w:rsidP="00F06B69">
            <w:pPr>
              <w:pStyle w:val="ListBullet"/>
              <w:numPr>
                <w:ilvl w:val="0"/>
                <w:numId w:val="2"/>
              </w:numPr>
              <w:spacing w:before="40"/>
              <w:ind w:left="357" w:hanging="357"/>
              <w:contextualSpacing w:val="0"/>
              <w:rPr>
                <w:rFonts w:ascii="Tahoma" w:hAnsi="Tahoma" w:cs="Tahoma"/>
              </w:rPr>
            </w:pPr>
            <w:r w:rsidRPr="00DF3FEA">
              <w:rPr>
                <w:rFonts w:ascii="Tahoma" w:hAnsi="Tahoma" w:cs="Tahoma"/>
              </w:rPr>
              <w:t>The next meeting</w:t>
            </w:r>
            <w:r>
              <w:rPr>
                <w:rFonts w:ascii="Tahoma" w:hAnsi="Tahoma" w:cs="Tahoma"/>
              </w:rPr>
              <w:t xml:space="preserve"> is scheduled for </w:t>
            </w:r>
            <w:r w:rsidR="00EB5ABB" w:rsidRPr="00F06B69">
              <w:rPr>
                <w:rFonts w:ascii="Tahoma" w:hAnsi="Tahoma" w:cs="Tahoma"/>
                <w:b/>
              </w:rPr>
              <w:t xml:space="preserve">Thursday </w:t>
            </w:r>
            <w:r w:rsidR="0042112B" w:rsidRPr="00F06B69">
              <w:rPr>
                <w:rFonts w:ascii="Tahoma" w:hAnsi="Tahoma" w:cs="Tahoma"/>
                <w:b/>
              </w:rPr>
              <w:t>24</w:t>
            </w:r>
            <w:r w:rsidR="00EB5ABB" w:rsidRPr="00F06B69">
              <w:rPr>
                <w:rFonts w:ascii="Tahoma" w:hAnsi="Tahoma" w:cs="Tahoma"/>
                <w:b/>
              </w:rPr>
              <w:t xml:space="preserve"> September, 10.00 – 12.30</w:t>
            </w:r>
            <w:r w:rsidR="00EB5ABB" w:rsidRPr="00F06B69">
              <w:rPr>
                <w:rFonts w:ascii="Tahoma" w:hAnsi="Tahoma" w:cs="Tahoma"/>
              </w:rPr>
              <w:t>.</w:t>
            </w:r>
          </w:p>
        </w:tc>
      </w:tr>
    </w:tbl>
    <w:p w14:paraId="50C734E3" w14:textId="77777777" w:rsidR="00DC221C" w:rsidRPr="00DF3FEA" w:rsidRDefault="000A32D2" w:rsidP="00E64F14">
      <w:pPr>
        <w:rPr>
          <w:rFonts w:ascii="Tahoma" w:hAnsi="Tahoma" w:cs="Tahoma"/>
        </w:rPr>
      </w:pPr>
    </w:p>
    <w:sectPr w:rsidR="00DC221C" w:rsidRPr="00DF3FEA" w:rsidSect="00115C41">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FF9B3" w14:textId="77777777" w:rsidR="00054899" w:rsidRDefault="00054899" w:rsidP="006C0023">
      <w:r>
        <w:separator/>
      </w:r>
    </w:p>
  </w:endnote>
  <w:endnote w:type="continuationSeparator" w:id="0">
    <w:p w14:paraId="073A1047" w14:textId="77777777" w:rsidR="00054899" w:rsidRDefault="00054899" w:rsidP="006C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45 Light">
    <w:altName w:val="Corbel"/>
    <w:panose1 w:val="020B04030305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DAF4F" w14:textId="77777777" w:rsidR="00054899" w:rsidRDefault="00054899" w:rsidP="006C0023">
      <w:r>
        <w:separator/>
      </w:r>
    </w:p>
  </w:footnote>
  <w:footnote w:type="continuationSeparator" w:id="0">
    <w:p w14:paraId="71305A7B" w14:textId="77777777" w:rsidR="00054899" w:rsidRDefault="00054899" w:rsidP="006C00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9187C6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5D09ED"/>
    <w:multiLevelType w:val="hybridMultilevel"/>
    <w:tmpl w:val="F2DC9BF8"/>
    <w:lvl w:ilvl="0" w:tplc="0382D8B2">
      <w:start w:val="1"/>
      <w:numFmt w:val="bullet"/>
      <w:lvlText w:val=""/>
      <w:lvlJc w:val="left"/>
      <w:pPr>
        <w:ind w:left="1571" w:hanging="360"/>
      </w:pPr>
      <w:rPr>
        <w:rFonts w:ascii="Symbol" w:hAnsi="Symbol" w:hint="default"/>
        <w:color w:val="0D2244"/>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 w15:restartNumberingAfterBreak="0">
    <w:nsid w:val="1AC64E7A"/>
    <w:multiLevelType w:val="hybridMultilevel"/>
    <w:tmpl w:val="BA20D54C"/>
    <w:lvl w:ilvl="0" w:tplc="14090001">
      <w:start w:val="1"/>
      <w:numFmt w:val="bullet"/>
      <w:lvlText w:val=""/>
      <w:lvlJc w:val="left"/>
      <w:pPr>
        <w:ind w:left="1174" w:hanging="360"/>
      </w:pPr>
      <w:rPr>
        <w:rFonts w:ascii="Symbol" w:hAnsi="Symbol" w:hint="default"/>
      </w:rPr>
    </w:lvl>
    <w:lvl w:ilvl="1" w:tplc="14090003" w:tentative="1">
      <w:start w:val="1"/>
      <w:numFmt w:val="bullet"/>
      <w:lvlText w:val="o"/>
      <w:lvlJc w:val="left"/>
      <w:pPr>
        <w:ind w:left="1894" w:hanging="360"/>
      </w:pPr>
      <w:rPr>
        <w:rFonts w:ascii="Courier New" w:hAnsi="Courier New" w:cs="Courier New" w:hint="default"/>
      </w:rPr>
    </w:lvl>
    <w:lvl w:ilvl="2" w:tplc="14090005" w:tentative="1">
      <w:start w:val="1"/>
      <w:numFmt w:val="bullet"/>
      <w:lvlText w:val=""/>
      <w:lvlJc w:val="left"/>
      <w:pPr>
        <w:ind w:left="2614" w:hanging="360"/>
      </w:pPr>
      <w:rPr>
        <w:rFonts w:ascii="Wingdings" w:hAnsi="Wingdings" w:hint="default"/>
      </w:rPr>
    </w:lvl>
    <w:lvl w:ilvl="3" w:tplc="14090001" w:tentative="1">
      <w:start w:val="1"/>
      <w:numFmt w:val="bullet"/>
      <w:lvlText w:val=""/>
      <w:lvlJc w:val="left"/>
      <w:pPr>
        <w:ind w:left="3334" w:hanging="360"/>
      </w:pPr>
      <w:rPr>
        <w:rFonts w:ascii="Symbol" w:hAnsi="Symbol" w:hint="default"/>
      </w:rPr>
    </w:lvl>
    <w:lvl w:ilvl="4" w:tplc="14090003" w:tentative="1">
      <w:start w:val="1"/>
      <w:numFmt w:val="bullet"/>
      <w:lvlText w:val="o"/>
      <w:lvlJc w:val="left"/>
      <w:pPr>
        <w:ind w:left="4054" w:hanging="360"/>
      </w:pPr>
      <w:rPr>
        <w:rFonts w:ascii="Courier New" w:hAnsi="Courier New" w:cs="Courier New" w:hint="default"/>
      </w:rPr>
    </w:lvl>
    <w:lvl w:ilvl="5" w:tplc="14090005" w:tentative="1">
      <w:start w:val="1"/>
      <w:numFmt w:val="bullet"/>
      <w:lvlText w:val=""/>
      <w:lvlJc w:val="left"/>
      <w:pPr>
        <w:ind w:left="4774" w:hanging="360"/>
      </w:pPr>
      <w:rPr>
        <w:rFonts w:ascii="Wingdings" w:hAnsi="Wingdings" w:hint="default"/>
      </w:rPr>
    </w:lvl>
    <w:lvl w:ilvl="6" w:tplc="14090001" w:tentative="1">
      <w:start w:val="1"/>
      <w:numFmt w:val="bullet"/>
      <w:lvlText w:val=""/>
      <w:lvlJc w:val="left"/>
      <w:pPr>
        <w:ind w:left="5494" w:hanging="360"/>
      </w:pPr>
      <w:rPr>
        <w:rFonts w:ascii="Symbol" w:hAnsi="Symbol" w:hint="default"/>
      </w:rPr>
    </w:lvl>
    <w:lvl w:ilvl="7" w:tplc="14090003" w:tentative="1">
      <w:start w:val="1"/>
      <w:numFmt w:val="bullet"/>
      <w:lvlText w:val="o"/>
      <w:lvlJc w:val="left"/>
      <w:pPr>
        <w:ind w:left="6214" w:hanging="360"/>
      </w:pPr>
      <w:rPr>
        <w:rFonts w:ascii="Courier New" w:hAnsi="Courier New" w:cs="Courier New" w:hint="default"/>
      </w:rPr>
    </w:lvl>
    <w:lvl w:ilvl="8" w:tplc="14090005" w:tentative="1">
      <w:start w:val="1"/>
      <w:numFmt w:val="bullet"/>
      <w:lvlText w:val=""/>
      <w:lvlJc w:val="left"/>
      <w:pPr>
        <w:ind w:left="6934" w:hanging="360"/>
      </w:pPr>
      <w:rPr>
        <w:rFonts w:ascii="Wingdings" w:hAnsi="Wingdings" w:hint="default"/>
      </w:rPr>
    </w:lvl>
  </w:abstractNum>
  <w:abstractNum w:abstractNumId="3" w15:restartNumberingAfterBreak="0">
    <w:nsid w:val="364F4596"/>
    <w:multiLevelType w:val="hybridMultilevel"/>
    <w:tmpl w:val="868AD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58852015"/>
    <w:multiLevelType w:val="singleLevel"/>
    <w:tmpl w:val="80E2C1B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C99598D"/>
    <w:multiLevelType w:val="hybridMultilevel"/>
    <w:tmpl w:val="9CECA69C"/>
    <w:lvl w:ilvl="0" w:tplc="1409000F">
      <w:start w:val="1"/>
      <w:numFmt w:val="decimal"/>
      <w:lvlText w:val="%1."/>
      <w:lvlJc w:val="left"/>
      <w:pPr>
        <w:ind w:left="717" w:hanging="360"/>
      </w:p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num w:numId="1">
    <w:abstractNumId w:val="0"/>
  </w:num>
  <w:num w:numId="2">
    <w:abstractNumId w:val="4"/>
  </w:num>
  <w:num w:numId="3">
    <w:abstractNumId w:val="1"/>
  </w:num>
  <w:num w:numId="4">
    <w:abstractNumId w:val="0"/>
  </w:num>
  <w:num w:numId="5">
    <w:abstractNumId w:val="0"/>
  </w:num>
  <w:num w:numId="6">
    <w:abstractNumId w:val="0"/>
  </w:num>
  <w:num w:numId="7">
    <w:abstractNumId w:val="0"/>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5"/>
  </w:num>
  <w:num w:numId="19">
    <w:abstractNumId w:val="2"/>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22A"/>
    <w:rsid w:val="00012470"/>
    <w:rsid w:val="00043A67"/>
    <w:rsid w:val="00054899"/>
    <w:rsid w:val="00071D4E"/>
    <w:rsid w:val="0008260D"/>
    <w:rsid w:val="000874C9"/>
    <w:rsid w:val="00091670"/>
    <w:rsid w:val="000A0936"/>
    <w:rsid w:val="000A240D"/>
    <w:rsid w:val="000A32D2"/>
    <w:rsid w:val="000A48D8"/>
    <w:rsid w:val="000D27D0"/>
    <w:rsid w:val="000E00A2"/>
    <w:rsid w:val="000E340C"/>
    <w:rsid w:val="000E5C9D"/>
    <w:rsid w:val="000E6C50"/>
    <w:rsid w:val="000F3747"/>
    <w:rsid w:val="00105946"/>
    <w:rsid w:val="00115C41"/>
    <w:rsid w:val="0012555C"/>
    <w:rsid w:val="00170B26"/>
    <w:rsid w:val="00174D25"/>
    <w:rsid w:val="00175577"/>
    <w:rsid w:val="001C3F6D"/>
    <w:rsid w:val="001D6336"/>
    <w:rsid w:val="001D7552"/>
    <w:rsid w:val="001E3D35"/>
    <w:rsid w:val="001E7658"/>
    <w:rsid w:val="001F4BF4"/>
    <w:rsid w:val="00202D00"/>
    <w:rsid w:val="0027034D"/>
    <w:rsid w:val="002A32F3"/>
    <w:rsid w:val="002A5F5B"/>
    <w:rsid w:val="002B2AC1"/>
    <w:rsid w:val="002D22EF"/>
    <w:rsid w:val="002D2541"/>
    <w:rsid w:val="002E235E"/>
    <w:rsid w:val="002E2761"/>
    <w:rsid w:val="002E7609"/>
    <w:rsid w:val="00300904"/>
    <w:rsid w:val="00302717"/>
    <w:rsid w:val="00302B11"/>
    <w:rsid w:val="003053CC"/>
    <w:rsid w:val="00310B10"/>
    <w:rsid w:val="0032066E"/>
    <w:rsid w:val="00335211"/>
    <w:rsid w:val="003369F1"/>
    <w:rsid w:val="00347E8E"/>
    <w:rsid w:val="003C4FE7"/>
    <w:rsid w:val="003F178E"/>
    <w:rsid w:val="0042112B"/>
    <w:rsid w:val="00431766"/>
    <w:rsid w:val="00434F85"/>
    <w:rsid w:val="004518C8"/>
    <w:rsid w:val="00493CA4"/>
    <w:rsid w:val="004A1CEA"/>
    <w:rsid w:val="004A50DF"/>
    <w:rsid w:val="004B0E37"/>
    <w:rsid w:val="004D537A"/>
    <w:rsid w:val="004F1438"/>
    <w:rsid w:val="0052182C"/>
    <w:rsid w:val="00537C48"/>
    <w:rsid w:val="005506B1"/>
    <w:rsid w:val="00582684"/>
    <w:rsid w:val="00583E39"/>
    <w:rsid w:val="005918E0"/>
    <w:rsid w:val="00594E96"/>
    <w:rsid w:val="005A10CA"/>
    <w:rsid w:val="005A6D44"/>
    <w:rsid w:val="005A731F"/>
    <w:rsid w:val="005C4002"/>
    <w:rsid w:val="005D2789"/>
    <w:rsid w:val="005E3533"/>
    <w:rsid w:val="005E74C7"/>
    <w:rsid w:val="00605239"/>
    <w:rsid w:val="00607434"/>
    <w:rsid w:val="006227E8"/>
    <w:rsid w:val="00643FE4"/>
    <w:rsid w:val="00683406"/>
    <w:rsid w:val="00684B7F"/>
    <w:rsid w:val="0069081E"/>
    <w:rsid w:val="006A2F8D"/>
    <w:rsid w:val="006A49D8"/>
    <w:rsid w:val="006C0023"/>
    <w:rsid w:val="006C00D2"/>
    <w:rsid w:val="006D2114"/>
    <w:rsid w:val="006F2355"/>
    <w:rsid w:val="00710DC6"/>
    <w:rsid w:val="00720F2F"/>
    <w:rsid w:val="007361C2"/>
    <w:rsid w:val="00743F1E"/>
    <w:rsid w:val="007639DE"/>
    <w:rsid w:val="00771468"/>
    <w:rsid w:val="0078581B"/>
    <w:rsid w:val="007871D1"/>
    <w:rsid w:val="007B1C1D"/>
    <w:rsid w:val="007C624C"/>
    <w:rsid w:val="007D11EA"/>
    <w:rsid w:val="007E71FC"/>
    <w:rsid w:val="007E7B04"/>
    <w:rsid w:val="0082022B"/>
    <w:rsid w:val="00822BBD"/>
    <w:rsid w:val="0084191C"/>
    <w:rsid w:val="0084774A"/>
    <w:rsid w:val="0086458A"/>
    <w:rsid w:val="008756C2"/>
    <w:rsid w:val="008A4A41"/>
    <w:rsid w:val="008D5D07"/>
    <w:rsid w:val="00963BAD"/>
    <w:rsid w:val="009717D3"/>
    <w:rsid w:val="00991002"/>
    <w:rsid w:val="009A348F"/>
    <w:rsid w:val="009B4BC6"/>
    <w:rsid w:val="009C7F9D"/>
    <w:rsid w:val="009D541F"/>
    <w:rsid w:val="009E4D84"/>
    <w:rsid w:val="009F193D"/>
    <w:rsid w:val="00A016E1"/>
    <w:rsid w:val="00A243D5"/>
    <w:rsid w:val="00A27996"/>
    <w:rsid w:val="00A36D06"/>
    <w:rsid w:val="00A451F8"/>
    <w:rsid w:val="00A47308"/>
    <w:rsid w:val="00A650CB"/>
    <w:rsid w:val="00A76C0A"/>
    <w:rsid w:val="00A81227"/>
    <w:rsid w:val="00A87FE5"/>
    <w:rsid w:val="00A90E03"/>
    <w:rsid w:val="00AB09CA"/>
    <w:rsid w:val="00AB23B9"/>
    <w:rsid w:val="00B00C54"/>
    <w:rsid w:val="00B07D4F"/>
    <w:rsid w:val="00B454EE"/>
    <w:rsid w:val="00BB5925"/>
    <w:rsid w:val="00BD1BB0"/>
    <w:rsid w:val="00BD379A"/>
    <w:rsid w:val="00C10686"/>
    <w:rsid w:val="00C146CD"/>
    <w:rsid w:val="00C23CA8"/>
    <w:rsid w:val="00C32F5C"/>
    <w:rsid w:val="00C5448C"/>
    <w:rsid w:val="00C61AC6"/>
    <w:rsid w:val="00C72BF3"/>
    <w:rsid w:val="00C81777"/>
    <w:rsid w:val="00CC3412"/>
    <w:rsid w:val="00CC6083"/>
    <w:rsid w:val="00CE1A46"/>
    <w:rsid w:val="00CE5A61"/>
    <w:rsid w:val="00CF0F24"/>
    <w:rsid w:val="00CF1860"/>
    <w:rsid w:val="00D0688C"/>
    <w:rsid w:val="00D06C35"/>
    <w:rsid w:val="00D17832"/>
    <w:rsid w:val="00D22465"/>
    <w:rsid w:val="00D3022A"/>
    <w:rsid w:val="00D6680E"/>
    <w:rsid w:val="00D70965"/>
    <w:rsid w:val="00D84C4B"/>
    <w:rsid w:val="00D85D48"/>
    <w:rsid w:val="00D95ADF"/>
    <w:rsid w:val="00DD097A"/>
    <w:rsid w:val="00DD61E7"/>
    <w:rsid w:val="00DE1948"/>
    <w:rsid w:val="00DE27B7"/>
    <w:rsid w:val="00DE27D6"/>
    <w:rsid w:val="00DF3FEA"/>
    <w:rsid w:val="00DF78B3"/>
    <w:rsid w:val="00E32648"/>
    <w:rsid w:val="00E6095C"/>
    <w:rsid w:val="00E64F14"/>
    <w:rsid w:val="00E66665"/>
    <w:rsid w:val="00E75E54"/>
    <w:rsid w:val="00E8490D"/>
    <w:rsid w:val="00E90BCC"/>
    <w:rsid w:val="00E927CA"/>
    <w:rsid w:val="00E97535"/>
    <w:rsid w:val="00EA5AE8"/>
    <w:rsid w:val="00EA5BAC"/>
    <w:rsid w:val="00EB5ABB"/>
    <w:rsid w:val="00EC3A2E"/>
    <w:rsid w:val="00EC67F7"/>
    <w:rsid w:val="00EE4F24"/>
    <w:rsid w:val="00F06B69"/>
    <w:rsid w:val="00F150B0"/>
    <w:rsid w:val="00F271B1"/>
    <w:rsid w:val="00F3363F"/>
    <w:rsid w:val="00F44CFB"/>
    <w:rsid w:val="00F45745"/>
    <w:rsid w:val="00F53C0E"/>
    <w:rsid w:val="00F700EE"/>
    <w:rsid w:val="00F71C1E"/>
    <w:rsid w:val="00F73D34"/>
    <w:rsid w:val="00F96CF6"/>
    <w:rsid w:val="00FA23AA"/>
    <w:rsid w:val="00FC32CD"/>
    <w:rsid w:val="00FD5F8B"/>
    <w:rsid w:val="00FF0140"/>
    <w:rsid w:val="00FF0254"/>
    <w:rsid w:val="00FF67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188287"/>
  <w15:docId w15:val="{4812C34A-1FB1-4229-B34D-7DFD5F5A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D3022A"/>
    <w:pPr>
      <w:spacing w:after="0" w:line="240" w:lineRule="auto"/>
    </w:pPr>
    <w:rPr>
      <w:rFonts w:ascii="Frutiger LT 45 Light" w:eastAsia="Times New Roman" w:hAnsi="Frutiger LT 45 Light" w:cs="Times New Roman"/>
      <w:szCs w:val="20"/>
      <w:lang w:eastAsia="en-GB"/>
    </w:rPr>
  </w:style>
  <w:style w:type="paragraph" w:styleId="Heading1">
    <w:name w:val="heading 1"/>
    <w:basedOn w:val="BodyText"/>
    <w:next w:val="BodyText"/>
    <w:link w:val="Heading1Char"/>
    <w:qFormat/>
    <w:rsid w:val="00D3022A"/>
    <w:pPr>
      <w:keepNext/>
      <w:pBdr>
        <w:bottom w:val="single" w:sz="8" w:space="5" w:color="auto"/>
      </w:pBdr>
      <w:spacing w:before="240" w:after="60" w:line="400" w:lineRule="atLeast"/>
      <w:outlineLvl w:val="0"/>
    </w:pPr>
    <w:rPr>
      <w:rFonts w:cs="Arial"/>
      <w:b/>
      <w:bCs/>
      <w:color w:val="333333"/>
      <w:kern w:val="32"/>
      <w:sz w:val="48"/>
      <w:szCs w:val="22"/>
    </w:rPr>
  </w:style>
  <w:style w:type="paragraph" w:styleId="Heading2">
    <w:name w:val="heading 2"/>
    <w:basedOn w:val="BodyText"/>
    <w:next w:val="BodyText"/>
    <w:link w:val="Heading2Char"/>
    <w:qFormat/>
    <w:rsid w:val="00D3022A"/>
    <w:pPr>
      <w:keepNext/>
      <w:spacing w:before="240" w:after="60"/>
      <w:outlineLvl w:val="1"/>
    </w:pPr>
    <w:rPr>
      <w:rFonts w:cs="Arial"/>
      <w:b/>
      <w:bCs/>
      <w:iCs/>
      <w:color w:val="333333"/>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022A"/>
    <w:rPr>
      <w:rFonts w:ascii="Frutiger LT 45 Light" w:eastAsia="Times New Roman" w:hAnsi="Frutiger LT 45 Light" w:cs="Arial"/>
      <w:b/>
      <w:bCs/>
      <w:color w:val="333333"/>
      <w:kern w:val="32"/>
      <w:sz w:val="48"/>
      <w:lang w:eastAsia="en-GB"/>
    </w:rPr>
  </w:style>
  <w:style w:type="character" w:customStyle="1" w:styleId="Heading2Char">
    <w:name w:val="Heading 2 Char"/>
    <w:basedOn w:val="DefaultParagraphFont"/>
    <w:link w:val="Heading2"/>
    <w:rsid w:val="00D3022A"/>
    <w:rPr>
      <w:rFonts w:ascii="Frutiger LT 45 Light" w:eastAsia="Times New Roman" w:hAnsi="Frutiger LT 45 Light" w:cs="Arial"/>
      <w:b/>
      <w:bCs/>
      <w:iCs/>
      <w:color w:val="333333"/>
      <w:sz w:val="28"/>
      <w:szCs w:val="20"/>
      <w:lang w:eastAsia="en-GB"/>
    </w:rPr>
  </w:style>
  <w:style w:type="paragraph" w:styleId="BodyText">
    <w:name w:val="Body Text"/>
    <w:basedOn w:val="Normal"/>
    <w:link w:val="BodyTextChar"/>
    <w:uiPriority w:val="1"/>
    <w:qFormat/>
    <w:rsid w:val="00D3022A"/>
    <w:pPr>
      <w:spacing w:after="240" w:line="320" w:lineRule="atLeast"/>
    </w:pPr>
  </w:style>
  <w:style w:type="character" w:customStyle="1" w:styleId="BodyTextChar">
    <w:name w:val="Body Text Char"/>
    <w:basedOn w:val="DefaultParagraphFont"/>
    <w:link w:val="BodyText"/>
    <w:uiPriority w:val="1"/>
    <w:rsid w:val="00D3022A"/>
    <w:rPr>
      <w:rFonts w:ascii="Frutiger LT 45 Light" w:eastAsia="Times New Roman" w:hAnsi="Frutiger LT 45 Light" w:cs="Times New Roman"/>
      <w:szCs w:val="20"/>
      <w:lang w:eastAsia="en-GB"/>
    </w:rPr>
  </w:style>
  <w:style w:type="table" w:styleId="TableGrid">
    <w:name w:val="Table Grid"/>
    <w:basedOn w:val="TableNormal"/>
    <w:rsid w:val="00D3022A"/>
    <w:pPr>
      <w:spacing w:after="0" w:line="240" w:lineRule="auto"/>
    </w:pPr>
    <w:rPr>
      <w:rFonts w:ascii="Frutiger LT 45 Light" w:eastAsia="Times New Roman" w:hAnsi="Frutiger LT 45 Light"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0023"/>
    <w:pPr>
      <w:tabs>
        <w:tab w:val="center" w:pos="4513"/>
        <w:tab w:val="right" w:pos="9026"/>
      </w:tabs>
    </w:pPr>
  </w:style>
  <w:style w:type="character" w:customStyle="1" w:styleId="HeaderChar">
    <w:name w:val="Header Char"/>
    <w:basedOn w:val="DefaultParagraphFont"/>
    <w:link w:val="Header"/>
    <w:uiPriority w:val="99"/>
    <w:rsid w:val="006C0023"/>
    <w:rPr>
      <w:rFonts w:ascii="Frutiger LT 45 Light" w:eastAsia="Times New Roman" w:hAnsi="Frutiger LT 45 Light" w:cs="Times New Roman"/>
      <w:szCs w:val="20"/>
      <w:lang w:eastAsia="en-GB"/>
    </w:rPr>
  </w:style>
  <w:style w:type="paragraph" w:styleId="Footer">
    <w:name w:val="footer"/>
    <w:basedOn w:val="Normal"/>
    <w:link w:val="FooterChar"/>
    <w:uiPriority w:val="99"/>
    <w:unhideWhenUsed/>
    <w:rsid w:val="006C0023"/>
    <w:pPr>
      <w:tabs>
        <w:tab w:val="center" w:pos="4513"/>
        <w:tab w:val="right" w:pos="9026"/>
      </w:tabs>
    </w:pPr>
  </w:style>
  <w:style w:type="character" w:customStyle="1" w:styleId="FooterChar">
    <w:name w:val="Footer Char"/>
    <w:basedOn w:val="DefaultParagraphFont"/>
    <w:link w:val="Footer"/>
    <w:uiPriority w:val="99"/>
    <w:rsid w:val="006C0023"/>
    <w:rPr>
      <w:rFonts w:ascii="Frutiger LT 45 Light" w:eastAsia="Times New Roman" w:hAnsi="Frutiger LT 45 Light" w:cs="Times New Roman"/>
      <w:szCs w:val="20"/>
      <w:lang w:eastAsia="en-GB"/>
    </w:rPr>
  </w:style>
  <w:style w:type="character" w:styleId="CommentReference">
    <w:name w:val="annotation reference"/>
    <w:basedOn w:val="DefaultParagraphFont"/>
    <w:uiPriority w:val="99"/>
    <w:semiHidden/>
    <w:unhideWhenUsed/>
    <w:rsid w:val="000A240D"/>
    <w:rPr>
      <w:sz w:val="16"/>
      <w:szCs w:val="16"/>
    </w:rPr>
  </w:style>
  <w:style w:type="paragraph" w:styleId="CommentText">
    <w:name w:val="annotation text"/>
    <w:basedOn w:val="Normal"/>
    <w:link w:val="CommentTextChar"/>
    <w:uiPriority w:val="99"/>
    <w:semiHidden/>
    <w:unhideWhenUsed/>
    <w:rsid w:val="000A240D"/>
    <w:rPr>
      <w:sz w:val="20"/>
    </w:rPr>
  </w:style>
  <w:style w:type="character" w:customStyle="1" w:styleId="CommentTextChar">
    <w:name w:val="Comment Text Char"/>
    <w:basedOn w:val="DefaultParagraphFont"/>
    <w:link w:val="CommentText"/>
    <w:uiPriority w:val="99"/>
    <w:semiHidden/>
    <w:rsid w:val="000A240D"/>
    <w:rPr>
      <w:rFonts w:ascii="Frutiger LT 45 Light" w:eastAsia="Times New Roman" w:hAnsi="Frutiger LT 45 Light"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A240D"/>
    <w:rPr>
      <w:b/>
      <w:bCs/>
    </w:rPr>
  </w:style>
  <w:style w:type="character" w:customStyle="1" w:styleId="CommentSubjectChar">
    <w:name w:val="Comment Subject Char"/>
    <w:basedOn w:val="CommentTextChar"/>
    <w:link w:val="CommentSubject"/>
    <w:uiPriority w:val="99"/>
    <w:semiHidden/>
    <w:rsid w:val="000A240D"/>
    <w:rPr>
      <w:rFonts w:ascii="Frutiger LT 45 Light" w:eastAsia="Times New Roman" w:hAnsi="Frutiger LT 45 Light" w:cs="Times New Roman"/>
      <w:b/>
      <w:bCs/>
      <w:sz w:val="20"/>
      <w:szCs w:val="20"/>
      <w:lang w:eastAsia="en-GB"/>
    </w:rPr>
  </w:style>
  <w:style w:type="paragraph" w:styleId="BalloonText">
    <w:name w:val="Balloon Text"/>
    <w:basedOn w:val="Normal"/>
    <w:link w:val="BalloonTextChar"/>
    <w:uiPriority w:val="99"/>
    <w:semiHidden/>
    <w:unhideWhenUsed/>
    <w:rsid w:val="000A24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40D"/>
    <w:rPr>
      <w:rFonts w:ascii="Segoe UI" w:eastAsia="Times New Roman" w:hAnsi="Segoe UI" w:cs="Segoe UI"/>
      <w:sz w:val="18"/>
      <w:szCs w:val="18"/>
      <w:lang w:eastAsia="en-GB"/>
    </w:rPr>
  </w:style>
  <w:style w:type="paragraph" w:styleId="ListBullet">
    <w:name w:val="List Bullet"/>
    <w:basedOn w:val="Normal"/>
    <w:uiPriority w:val="99"/>
    <w:unhideWhenUsed/>
    <w:rsid w:val="00FF0254"/>
    <w:pPr>
      <w:numPr>
        <w:numId w:val="1"/>
      </w:numPr>
      <w:contextualSpacing/>
    </w:pPr>
  </w:style>
  <w:style w:type="paragraph" w:styleId="ListParagraph">
    <w:name w:val="List Paragraph"/>
    <w:basedOn w:val="Normal"/>
    <w:uiPriority w:val="34"/>
    <w:qFormat/>
    <w:rsid w:val="00E97535"/>
    <w:pPr>
      <w:ind w:left="720"/>
    </w:pPr>
    <w:rPr>
      <w:rFonts w:ascii="Calibri" w:eastAsiaTheme="minorHAnsi" w:hAnsi="Calibri"/>
      <w:szCs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28668">
      <w:bodyDiv w:val="1"/>
      <w:marLeft w:val="0"/>
      <w:marRight w:val="0"/>
      <w:marTop w:val="0"/>
      <w:marBottom w:val="0"/>
      <w:divBdr>
        <w:top w:val="none" w:sz="0" w:space="0" w:color="auto"/>
        <w:left w:val="none" w:sz="0" w:space="0" w:color="auto"/>
        <w:bottom w:val="none" w:sz="0" w:space="0" w:color="auto"/>
        <w:right w:val="none" w:sz="0" w:space="0" w:color="auto"/>
      </w:divBdr>
    </w:div>
    <w:div w:id="645475349">
      <w:bodyDiv w:val="1"/>
      <w:marLeft w:val="0"/>
      <w:marRight w:val="0"/>
      <w:marTop w:val="0"/>
      <w:marBottom w:val="0"/>
      <w:divBdr>
        <w:top w:val="none" w:sz="0" w:space="0" w:color="auto"/>
        <w:left w:val="none" w:sz="0" w:space="0" w:color="auto"/>
        <w:bottom w:val="none" w:sz="0" w:space="0" w:color="auto"/>
        <w:right w:val="none" w:sz="0" w:space="0" w:color="auto"/>
      </w:divBdr>
    </w:div>
    <w:div w:id="101334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7E46-6950-4C11-A8DF-DD847CD9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4</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Andrew.Walker@gasindustry.co.nz</dc:creator>
  <cp:lastModifiedBy>Pamela Caird</cp:lastModifiedBy>
  <cp:revision>20</cp:revision>
  <cp:lastPrinted>2015-01-27T00:33:00Z</cp:lastPrinted>
  <dcterms:created xsi:type="dcterms:W3CDTF">2015-09-10T21:50:00Z</dcterms:created>
  <dcterms:modified xsi:type="dcterms:W3CDTF">2015-09-15T04:36:00Z</dcterms:modified>
</cp:coreProperties>
</file>