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9BBD0" w14:textId="77777777" w:rsidR="00D3022A" w:rsidRPr="00DF3FEA" w:rsidRDefault="00D3022A" w:rsidP="0084774A">
      <w:pPr>
        <w:pStyle w:val="Heading2"/>
        <w:spacing w:after="0"/>
        <w:rPr>
          <w:rFonts w:ascii="Tahoma" w:hAnsi="Tahoma" w:cs="Tahoma"/>
        </w:rPr>
      </w:pPr>
      <w:r w:rsidRPr="00DF3FEA">
        <w:rPr>
          <w:rFonts w:ascii="Tahoma" w:hAnsi="Tahoma" w:cs="Tahoma"/>
        </w:rPr>
        <w:tab/>
      </w:r>
      <w:r w:rsidRPr="00DF3FEA">
        <w:rPr>
          <w:rFonts w:ascii="Tahoma" w:hAnsi="Tahoma" w:cs="Tahoma"/>
          <w:noProof/>
          <w:lang w:eastAsia="en-NZ"/>
        </w:rPr>
        <w:drawing>
          <wp:anchor distT="0" distB="0" distL="114300" distR="114300" simplePos="0" relativeHeight="251659264" behindDoc="0" locked="0" layoutInCell="1" allowOverlap="1" wp14:anchorId="13FB3EBB" wp14:editId="28A23E83">
            <wp:simplePos x="0" y="0"/>
            <wp:positionH relativeFrom="column">
              <wp:posOffset>4114800</wp:posOffset>
            </wp:positionH>
            <wp:positionV relativeFrom="paragraph">
              <wp:posOffset>-342900</wp:posOffset>
            </wp:positionV>
            <wp:extent cx="1644650" cy="1014730"/>
            <wp:effectExtent l="0" t="0" r="0" b="0"/>
            <wp:wrapSquare wrapText="bothSides"/>
            <wp:docPr id="1" name="Picture 1" descr="GIC 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C 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650" cy="1014730"/>
                    </a:xfrm>
                    <a:prstGeom prst="rect">
                      <a:avLst/>
                    </a:prstGeom>
                    <a:noFill/>
                    <a:ln>
                      <a:noFill/>
                    </a:ln>
                  </pic:spPr>
                </pic:pic>
              </a:graphicData>
            </a:graphic>
          </wp:anchor>
        </w:drawing>
      </w:r>
    </w:p>
    <w:p w14:paraId="325705DC" w14:textId="03C06471" w:rsidR="00D3022A" w:rsidRPr="00DF3FEA" w:rsidRDefault="008C58FB" w:rsidP="00115C41">
      <w:pPr>
        <w:pStyle w:val="BodyText"/>
        <w:spacing w:after="200"/>
        <w:rPr>
          <w:rFonts w:ascii="Tahoma" w:hAnsi="Tahoma" w:cs="Tahoma"/>
          <w:b/>
        </w:rPr>
      </w:pPr>
      <w:r>
        <w:rPr>
          <w:rFonts w:ascii="Tahoma" w:hAnsi="Tahoma" w:cs="Tahoma"/>
          <w:b/>
        </w:rPr>
        <w:t>DAWG Meeting #7</w:t>
      </w:r>
    </w:p>
    <w:p w14:paraId="4F88A6F5" w14:textId="215EC72E" w:rsidR="00D3022A" w:rsidRPr="00DF3FEA" w:rsidRDefault="00D3022A" w:rsidP="00115C41">
      <w:pPr>
        <w:pStyle w:val="BodyText"/>
        <w:spacing w:after="200"/>
        <w:rPr>
          <w:rFonts w:ascii="Tahoma" w:hAnsi="Tahoma" w:cs="Tahoma"/>
          <w:b/>
        </w:rPr>
      </w:pPr>
      <w:r w:rsidRPr="00DF3FEA">
        <w:rPr>
          <w:rFonts w:ascii="Tahoma" w:hAnsi="Tahoma" w:cs="Tahoma"/>
          <w:b/>
        </w:rPr>
        <w:t>Date:</w:t>
      </w:r>
      <w:r w:rsidRPr="00DF3FEA">
        <w:rPr>
          <w:rFonts w:ascii="Tahoma" w:hAnsi="Tahoma" w:cs="Tahoma"/>
          <w:b/>
        </w:rPr>
        <w:tab/>
      </w:r>
      <w:r w:rsidRPr="00DF3FEA">
        <w:rPr>
          <w:rFonts w:ascii="Tahoma" w:hAnsi="Tahoma" w:cs="Tahoma"/>
          <w:b/>
        </w:rPr>
        <w:tab/>
      </w:r>
      <w:r w:rsidR="00A650CB">
        <w:rPr>
          <w:rFonts w:ascii="Tahoma" w:hAnsi="Tahoma" w:cs="Tahoma"/>
        </w:rPr>
        <w:t xml:space="preserve">Thursday </w:t>
      </w:r>
      <w:r w:rsidR="008C58FB">
        <w:rPr>
          <w:rFonts w:ascii="Tahoma" w:hAnsi="Tahoma" w:cs="Tahoma"/>
        </w:rPr>
        <w:t>24</w:t>
      </w:r>
      <w:r w:rsidR="00DD097A">
        <w:rPr>
          <w:rFonts w:ascii="Tahoma" w:hAnsi="Tahoma" w:cs="Tahoma"/>
        </w:rPr>
        <w:t xml:space="preserve"> September</w:t>
      </w:r>
      <w:r w:rsidR="00E97535" w:rsidRPr="00DF3FEA">
        <w:rPr>
          <w:rFonts w:ascii="Tahoma" w:hAnsi="Tahoma" w:cs="Tahoma"/>
        </w:rPr>
        <w:t xml:space="preserve"> 2015</w:t>
      </w:r>
    </w:p>
    <w:p w14:paraId="4879DD45" w14:textId="752C2FAF" w:rsidR="00D3022A" w:rsidRPr="00DF3FEA" w:rsidRDefault="00D3022A" w:rsidP="00115C41">
      <w:pPr>
        <w:pStyle w:val="BodyText"/>
        <w:spacing w:after="200"/>
        <w:rPr>
          <w:rFonts w:ascii="Tahoma" w:hAnsi="Tahoma" w:cs="Tahoma"/>
          <w:b/>
        </w:rPr>
      </w:pPr>
      <w:r w:rsidRPr="00DF3FEA">
        <w:rPr>
          <w:rFonts w:ascii="Tahoma" w:hAnsi="Tahoma" w:cs="Tahoma"/>
          <w:b/>
        </w:rPr>
        <w:t>Time:</w:t>
      </w:r>
      <w:r w:rsidRPr="00DF3FEA">
        <w:rPr>
          <w:rFonts w:ascii="Tahoma" w:hAnsi="Tahoma" w:cs="Tahoma"/>
          <w:b/>
        </w:rPr>
        <w:tab/>
      </w:r>
      <w:r w:rsidRPr="00DF3FEA">
        <w:rPr>
          <w:rFonts w:ascii="Tahoma" w:hAnsi="Tahoma" w:cs="Tahoma"/>
          <w:b/>
        </w:rPr>
        <w:tab/>
      </w:r>
      <w:r w:rsidR="008C58FB">
        <w:rPr>
          <w:rFonts w:ascii="Tahoma" w:hAnsi="Tahoma" w:cs="Tahoma"/>
        </w:rPr>
        <w:t>10:00 – 12:0</w:t>
      </w:r>
      <w:r w:rsidR="004F1438">
        <w:rPr>
          <w:rFonts w:ascii="Tahoma" w:hAnsi="Tahoma" w:cs="Tahoma"/>
        </w:rPr>
        <w:t>0</w:t>
      </w:r>
    </w:p>
    <w:p w14:paraId="062A78DC" w14:textId="77777777" w:rsidR="00D3022A" w:rsidRPr="00DF3FEA" w:rsidRDefault="00D3022A" w:rsidP="00115C41">
      <w:pPr>
        <w:pStyle w:val="BodyText"/>
        <w:spacing w:after="200"/>
        <w:ind w:left="1418" w:hanging="1418"/>
        <w:rPr>
          <w:rFonts w:ascii="Tahoma" w:hAnsi="Tahoma" w:cs="Tahoma"/>
        </w:rPr>
      </w:pPr>
      <w:r w:rsidRPr="00DF3FEA">
        <w:rPr>
          <w:rFonts w:ascii="Tahoma" w:hAnsi="Tahoma" w:cs="Tahoma"/>
          <w:b/>
        </w:rPr>
        <w:t>Venue:</w:t>
      </w:r>
      <w:r w:rsidRPr="00DF3FEA">
        <w:rPr>
          <w:rFonts w:ascii="Tahoma" w:hAnsi="Tahoma" w:cs="Tahoma"/>
          <w:b/>
        </w:rPr>
        <w:tab/>
      </w:r>
      <w:r w:rsidRPr="00DF3FEA">
        <w:rPr>
          <w:rFonts w:ascii="Tahoma" w:hAnsi="Tahoma" w:cs="Tahoma"/>
        </w:rPr>
        <w:t xml:space="preserve">Gas Industry Co, Level 8, the Todd Building, 95 Customhouse Quay, Wellington  </w:t>
      </w:r>
    </w:p>
    <w:p w14:paraId="7D6CC18F" w14:textId="77777777" w:rsidR="00D3022A" w:rsidRPr="00DF3FEA" w:rsidRDefault="00D3022A" w:rsidP="00D3022A">
      <w:pPr>
        <w:pStyle w:val="Heading1"/>
        <w:pBdr>
          <w:bottom w:val="single" w:sz="8" w:space="6" w:color="auto"/>
        </w:pBdr>
        <w:rPr>
          <w:rFonts w:ascii="Tahoma" w:hAnsi="Tahoma" w:cs="Tahoma"/>
        </w:rPr>
      </w:pPr>
      <w:r w:rsidRPr="00DF3FEA">
        <w:rPr>
          <w:rFonts w:ascii="Tahoma" w:hAnsi="Tahoma" w:cs="Tahoma"/>
        </w:rPr>
        <w:t>Minutes</w:t>
      </w:r>
    </w:p>
    <w:tbl>
      <w:tblPr>
        <w:tblStyle w:val="TableGrid"/>
        <w:tblW w:w="9889" w:type="dxa"/>
        <w:tblLook w:val="04A0" w:firstRow="1" w:lastRow="0" w:firstColumn="1" w:lastColumn="0" w:noHBand="0" w:noVBand="1"/>
      </w:tblPr>
      <w:tblGrid>
        <w:gridCol w:w="884"/>
        <w:gridCol w:w="2939"/>
        <w:gridCol w:w="6066"/>
      </w:tblGrid>
      <w:tr w:rsidR="00DE27B7" w:rsidRPr="00DF3FEA" w14:paraId="125347D7" w14:textId="77777777" w:rsidTr="00045AC6">
        <w:tc>
          <w:tcPr>
            <w:tcW w:w="3823" w:type="dxa"/>
            <w:gridSpan w:val="2"/>
            <w:tcBorders>
              <w:top w:val="single" w:sz="4" w:space="0" w:color="auto"/>
              <w:left w:val="single" w:sz="4" w:space="0" w:color="auto"/>
              <w:bottom w:val="single" w:sz="4" w:space="0" w:color="auto"/>
              <w:right w:val="single" w:sz="4" w:space="0" w:color="FFFFFF" w:themeColor="background1"/>
            </w:tcBorders>
            <w:shd w:val="pct15" w:color="auto" w:fill="auto"/>
            <w:tcMar>
              <w:top w:w="85" w:type="dxa"/>
              <w:bottom w:w="85" w:type="dxa"/>
            </w:tcMar>
          </w:tcPr>
          <w:p w14:paraId="35E6009F" w14:textId="07B52CAB" w:rsidR="00DE27B7" w:rsidRPr="00DF3FEA" w:rsidRDefault="00DE27B7" w:rsidP="0084774A">
            <w:pPr>
              <w:pStyle w:val="BodyText"/>
              <w:spacing w:after="120"/>
              <w:rPr>
                <w:rFonts w:ascii="Tahoma" w:hAnsi="Tahoma" w:cs="Tahoma"/>
                <w:b/>
              </w:rPr>
            </w:pPr>
            <w:r w:rsidRPr="00DF3FEA">
              <w:rPr>
                <w:rFonts w:ascii="Tahoma" w:hAnsi="Tahoma" w:cs="Tahoma"/>
                <w:b/>
              </w:rPr>
              <w:t>Present</w:t>
            </w:r>
          </w:p>
        </w:tc>
        <w:tc>
          <w:tcPr>
            <w:tcW w:w="6066" w:type="dxa"/>
            <w:tcBorders>
              <w:top w:val="single" w:sz="4" w:space="0" w:color="auto"/>
              <w:left w:val="single" w:sz="4" w:space="0" w:color="FFFFFF" w:themeColor="background1"/>
              <w:bottom w:val="single" w:sz="4" w:space="0" w:color="auto"/>
              <w:right w:val="single" w:sz="4" w:space="0" w:color="auto"/>
            </w:tcBorders>
            <w:shd w:val="pct15" w:color="auto" w:fill="auto"/>
            <w:tcMar>
              <w:top w:w="85" w:type="dxa"/>
              <w:bottom w:w="85" w:type="dxa"/>
            </w:tcMar>
          </w:tcPr>
          <w:p w14:paraId="504A7A4B" w14:textId="4A144C05" w:rsidR="00DE27B7" w:rsidRPr="00DF3FEA" w:rsidRDefault="00DE27B7" w:rsidP="0084774A">
            <w:pPr>
              <w:pStyle w:val="BodyText"/>
              <w:spacing w:after="120"/>
              <w:rPr>
                <w:rFonts w:ascii="Tahoma" w:hAnsi="Tahoma" w:cs="Tahoma"/>
                <w:b/>
              </w:rPr>
            </w:pPr>
          </w:p>
        </w:tc>
      </w:tr>
      <w:tr w:rsidR="00E927CA" w:rsidRPr="00DF3FEA" w14:paraId="3D10A185" w14:textId="77777777" w:rsidTr="00045AC6">
        <w:trPr>
          <w:trHeight w:val="435"/>
        </w:trPr>
        <w:tc>
          <w:tcPr>
            <w:tcW w:w="3823" w:type="dxa"/>
            <w:gridSpan w:val="2"/>
            <w:tcBorders>
              <w:left w:val="single" w:sz="4" w:space="0" w:color="FFFFFF" w:themeColor="background1"/>
              <w:right w:val="single" w:sz="4" w:space="0" w:color="FFFFFF" w:themeColor="background1"/>
            </w:tcBorders>
            <w:tcMar>
              <w:top w:w="85" w:type="dxa"/>
              <w:bottom w:w="85" w:type="dxa"/>
            </w:tcMar>
          </w:tcPr>
          <w:p w14:paraId="3088CE62" w14:textId="5469225A" w:rsidR="0084191C" w:rsidRDefault="0084191C"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Anna Carrick</w:t>
            </w:r>
            <w:r>
              <w:rPr>
                <w:rFonts w:ascii="Tahoma" w:hAnsi="Tahoma" w:cs="Tahoma"/>
              </w:rPr>
              <w:t xml:space="preserve"> </w:t>
            </w:r>
          </w:p>
          <w:p w14:paraId="3D1E5239" w14:textId="4F4523FB" w:rsidR="0084191C" w:rsidRDefault="0084191C" w:rsidP="006C00D2">
            <w:pPr>
              <w:pStyle w:val="BodyText"/>
              <w:numPr>
                <w:ilvl w:val="0"/>
                <w:numId w:val="3"/>
              </w:numPr>
              <w:spacing w:after="120" w:line="240" w:lineRule="auto"/>
              <w:ind w:left="454" w:hanging="284"/>
              <w:rPr>
                <w:rFonts w:ascii="Tahoma" w:hAnsi="Tahoma" w:cs="Tahoma"/>
              </w:rPr>
            </w:pPr>
            <w:r>
              <w:rPr>
                <w:rFonts w:ascii="Tahoma" w:hAnsi="Tahoma" w:cs="Tahoma"/>
              </w:rPr>
              <w:t>Chris Bolton</w:t>
            </w:r>
          </w:p>
          <w:p w14:paraId="779AFEC3" w14:textId="102C77C7" w:rsidR="008C58FB" w:rsidRDefault="008C58FB" w:rsidP="006C00D2">
            <w:pPr>
              <w:pStyle w:val="BodyText"/>
              <w:numPr>
                <w:ilvl w:val="0"/>
                <w:numId w:val="3"/>
              </w:numPr>
              <w:spacing w:after="120" w:line="240" w:lineRule="auto"/>
              <w:ind w:left="454" w:hanging="284"/>
              <w:rPr>
                <w:rFonts w:ascii="Tahoma" w:hAnsi="Tahoma" w:cs="Tahoma"/>
              </w:rPr>
            </w:pPr>
            <w:r>
              <w:rPr>
                <w:rFonts w:ascii="Tahoma" w:hAnsi="Tahoma" w:cs="Tahoma"/>
              </w:rPr>
              <w:t>Don Gray</w:t>
            </w:r>
          </w:p>
          <w:p w14:paraId="113C5C3A" w14:textId="77777777" w:rsidR="00E927CA" w:rsidRDefault="00E927CA"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 xml:space="preserve">Greg Redshaw </w:t>
            </w:r>
          </w:p>
          <w:p w14:paraId="39B82CA8" w14:textId="53AADDBC" w:rsidR="00E927CA" w:rsidRDefault="00E927CA"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Jim Raybould</w:t>
            </w:r>
          </w:p>
          <w:p w14:paraId="1B8A6BD2" w14:textId="3B2E3B05" w:rsidR="004F1438" w:rsidRPr="00E927CA" w:rsidRDefault="004F1438" w:rsidP="006C00D2">
            <w:pPr>
              <w:pStyle w:val="BodyText"/>
              <w:numPr>
                <w:ilvl w:val="0"/>
                <w:numId w:val="3"/>
              </w:numPr>
              <w:spacing w:after="120" w:line="240" w:lineRule="auto"/>
              <w:ind w:left="454" w:hanging="284"/>
              <w:rPr>
                <w:rFonts w:ascii="Tahoma" w:hAnsi="Tahoma" w:cs="Tahoma"/>
              </w:rPr>
            </w:pPr>
            <w:r>
              <w:rPr>
                <w:rFonts w:ascii="Tahoma" w:hAnsi="Tahoma" w:cs="Tahoma"/>
              </w:rPr>
              <w:t>Michael Binney</w:t>
            </w:r>
            <w:r w:rsidR="008C58FB">
              <w:rPr>
                <w:rFonts w:ascii="Tahoma" w:hAnsi="Tahoma" w:cs="Tahoma"/>
              </w:rPr>
              <w:t xml:space="preserve"> (from 10.45)</w:t>
            </w:r>
          </w:p>
          <w:p w14:paraId="0B206E87" w14:textId="77777777" w:rsidR="00E927CA" w:rsidRDefault="00E927CA"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Sharon Wray</w:t>
            </w:r>
          </w:p>
          <w:p w14:paraId="7479FE92" w14:textId="375B1A90" w:rsidR="004F1438" w:rsidRDefault="004F1438" w:rsidP="006C00D2">
            <w:pPr>
              <w:pStyle w:val="BodyText"/>
              <w:numPr>
                <w:ilvl w:val="0"/>
                <w:numId w:val="3"/>
              </w:numPr>
              <w:spacing w:after="120" w:line="240" w:lineRule="auto"/>
              <w:ind w:left="454" w:hanging="284"/>
              <w:rPr>
                <w:rFonts w:ascii="Tahoma" w:hAnsi="Tahoma" w:cs="Tahoma"/>
              </w:rPr>
            </w:pPr>
            <w:r w:rsidRPr="00E927CA">
              <w:rPr>
                <w:rFonts w:ascii="Tahoma" w:hAnsi="Tahoma" w:cs="Tahoma"/>
              </w:rPr>
              <w:t>Matthew Carnachan</w:t>
            </w:r>
            <w:r>
              <w:rPr>
                <w:rFonts w:ascii="Tahoma" w:hAnsi="Tahoma" w:cs="Tahoma"/>
              </w:rPr>
              <w:t xml:space="preserve"> </w:t>
            </w:r>
          </w:p>
          <w:p w14:paraId="59F2C706" w14:textId="243C500C" w:rsidR="0084191C" w:rsidRDefault="0084191C" w:rsidP="0084191C">
            <w:pPr>
              <w:pStyle w:val="BodyText"/>
              <w:spacing w:after="120" w:line="240" w:lineRule="auto"/>
              <w:ind w:left="170"/>
              <w:rPr>
                <w:rFonts w:ascii="Tahoma" w:hAnsi="Tahoma" w:cs="Tahoma"/>
              </w:rPr>
            </w:pPr>
            <w:r>
              <w:rPr>
                <w:rFonts w:ascii="Tahoma" w:hAnsi="Tahoma" w:cs="Tahoma"/>
              </w:rPr>
              <w:t>By teleconference:</w:t>
            </w:r>
            <w:r w:rsidR="00A650CB">
              <w:rPr>
                <w:rFonts w:ascii="Tahoma" w:hAnsi="Tahoma" w:cs="Tahoma"/>
              </w:rPr>
              <w:t xml:space="preserve">  </w:t>
            </w:r>
          </w:p>
          <w:p w14:paraId="7C26074B" w14:textId="51CA17E8" w:rsidR="0084191C" w:rsidRDefault="0084191C" w:rsidP="0084191C">
            <w:pPr>
              <w:pStyle w:val="BodyText"/>
              <w:numPr>
                <w:ilvl w:val="0"/>
                <w:numId w:val="3"/>
              </w:numPr>
              <w:spacing w:after="120" w:line="240" w:lineRule="auto"/>
              <w:ind w:left="454" w:hanging="284"/>
              <w:rPr>
                <w:rFonts w:ascii="Tahoma" w:hAnsi="Tahoma" w:cs="Tahoma"/>
              </w:rPr>
            </w:pPr>
            <w:r>
              <w:rPr>
                <w:rFonts w:ascii="Tahoma" w:hAnsi="Tahoma" w:cs="Tahoma"/>
              </w:rPr>
              <w:t xml:space="preserve">Craig </w:t>
            </w:r>
            <w:r w:rsidRPr="00A650CB">
              <w:rPr>
                <w:rFonts w:ascii="Tahoma" w:hAnsi="Tahoma" w:cs="Tahoma"/>
              </w:rPr>
              <w:t>Schubauer</w:t>
            </w:r>
          </w:p>
          <w:p w14:paraId="3CDBD716" w14:textId="77777777" w:rsidR="00AC6439" w:rsidRDefault="00AC6439" w:rsidP="0084191C">
            <w:pPr>
              <w:pStyle w:val="BodyText"/>
              <w:numPr>
                <w:ilvl w:val="0"/>
                <w:numId w:val="3"/>
              </w:numPr>
              <w:spacing w:after="120" w:line="240" w:lineRule="auto"/>
              <w:ind w:left="454" w:hanging="284"/>
              <w:rPr>
                <w:rFonts w:ascii="Tahoma" w:hAnsi="Tahoma" w:cs="Tahoma"/>
              </w:rPr>
            </w:pPr>
            <w:r>
              <w:rPr>
                <w:rFonts w:ascii="Tahoma" w:hAnsi="Tahoma" w:cs="Tahoma"/>
              </w:rPr>
              <w:t>Lyndon Bird</w:t>
            </w:r>
          </w:p>
          <w:p w14:paraId="58D73DC2" w14:textId="6057BF98" w:rsidR="00AC6439" w:rsidRPr="00E927CA" w:rsidRDefault="00AC6439" w:rsidP="0084191C">
            <w:pPr>
              <w:pStyle w:val="BodyText"/>
              <w:numPr>
                <w:ilvl w:val="0"/>
                <w:numId w:val="3"/>
              </w:numPr>
              <w:spacing w:after="120" w:line="240" w:lineRule="auto"/>
              <w:ind w:left="454" w:hanging="284"/>
              <w:rPr>
                <w:rFonts w:ascii="Tahoma" w:hAnsi="Tahoma" w:cs="Tahoma"/>
              </w:rPr>
            </w:pPr>
            <w:r>
              <w:rPr>
                <w:rFonts w:ascii="Tahoma" w:hAnsi="Tahoma" w:cs="Tahoma"/>
              </w:rPr>
              <w:t>Rod Wong</w:t>
            </w:r>
          </w:p>
          <w:p w14:paraId="4CF3B973" w14:textId="77777777" w:rsidR="0084191C" w:rsidRDefault="0084191C" w:rsidP="0084191C">
            <w:pPr>
              <w:pStyle w:val="BodyText"/>
              <w:numPr>
                <w:ilvl w:val="0"/>
                <w:numId w:val="3"/>
              </w:numPr>
              <w:spacing w:after="120" w:line="240" w:lineRule="auto"/>
              <w:ind w:left="454" w:hanging="284"/>
              <w:rPr>
                <w:rFonts w:ascii="Tahoma" w:hAnsi="Tahoma" w:cs="Tahoma"/>
              </w:rPr>
            </w:pPr>
            <w:r>
              <w:rPr>
                <w:rFonts w:ascii="Tahoma" w:hAnsi="Tahoma" w:cs="Tahoma"/>
              </w:rPr>
              <w:t>William Turner</w:t>
            </w:r>
          </w:p>
          <w:p w14:paraId="435C0243" w14:textId="3EFB670A" w:rsidR="00FF0140" w:rsidRPr="00FF0140" w:rsidRDefault="00FF0140" w:rsidP="0084191C">
            <w:pPr>
              <w:pStyle w:val="BodyText"/>
              <w:spacing w:after="120" w:line="240" w:lineRule="auto"/>
              <w:rPr>
                <w:rFonts w:ascii="Tahoma" w:hAnsi="Tahoma" w:cs="Tahoma"/>
              </w:rPr>
            </w:pPr>
          </w:p>
        </w:tc>
        <w:tc>
          <w:tcPr>
            <w:tcW w:w="6066" w:type="dxa"/>
            <w:tcBorders>
              <w:left w:val="single" w:sz="4" w:space="0" w:color="FFFFFF" w:themeColor="background1"/>
              <w:right w:val="single" w:sz="4" w:space="0" w:color="FFFFFF" w:themeColor="background1"/>
            </w:tcBorders>
          </w:tcPr>
          <w:p w14:paraId="36320D70" w14:textId="393A5BFA" w:rsidR="004A50DF" w:rsidRDefault="004A50DF" w:rsidP="00C72BF3">
            <w:pPr>
              <w:spacing w:after="120"/>
              <w:rPr>
                <w:rFonts w:ascii="Tahoma" w:hAnsi="Tahoma" w:cs="Tahoma"/>
              </w:rPr>
            </w:pPr>
            <w:r w:rsidRPr="004A50DF">
              <w:rPr>
                <w:rFonts w:ascii="Tahoma" w:hAnsi="Tahoma" w:cs="Tahoma"/>
              </w:rPr>
              <w:t>From Gas Industry Co:</w:t>
            </w:r>
          </w:p>
          <w:p w14:paraId="75FD9A64" w14:textId="3B7FDC7D" w:rsidR="0082022B" w:rsidRDefault="0082022B"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t>Andrew Walker</w:t>
            </w:r>
          </w:p>
          <w:p w14:paraId="69AB9739" w14:textId="315DB1B9" w:rsidR="00DD097A" w:rsidRPr="0082022B" w:rsidRDefault="00DD097A"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r>
            <w:r>
              <w:rPr>
                <w:rFonts w:ascii="Tahoma" w:hAnsi="Tahoma" w:cs="Tahoma"/>
              </w:rPr>
              <w:t>Ian Dempster</w:t>
            </w:r>
          </w:p>
          <w:p w14:paraId="1D18D5BB" w14:textId="77777777" w:rsidR="0082022B" w:rsidRPr="0082022B" w:rsidRDefault="0082022B"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t>Kerry Check</w:t>
            </w:r>
          </w:p>
          <w:p w14:paraId="5CCC33E2" w14:textId="77777777" w:rsidR="0082022B" w:rsidRDefault="0082022B" w:rsidP="00DD097A">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t>Pamela Caird</w:t>
            </w:r>
          </w:p>
          <w:p w14:paraId="4CB8D30C" w14:textId="3DA4AF08" w:rsidR="00E927CA" w:rsidRPr="00DF3FEA" w:rsidRDefault="004F1438" w:rsidP="00AC6439">
            <w:pPr>
              <w:pStyle w:val="BodyText"/>
              <w:spacing w:after="120" w:line="240" w:lineRule="auto"/>
              <w:ind w:left="454" w:hanging="24"/>
              <w:rPr>
                <w:rFonts w:ascii="Tahoma" w:hAnsi="Tahoma" w:cs="Tahoma"/>
              </w:rPr>
            </w:pPr>
            <w:r w:rsidRPr="0082022B">
              <w:rPr>
                <w:rFonts w:ascii="Tahoma" w:hAnsi="Tahoma" w:cs="Tahoma"/>
              </w:rPr>
              <w:t>•</w:t>
            </w:r>
            <w:r w:rsidRPr="0082022B">
              <w:rPr>
                <w:rFonts w:ascii="Tahoma" w:hAnsi="Tahoma" w:cs="Tahoma"/>
              </w:rPr>
              <w:tab/>
            </w:r>
            <w:r w:rsidR="003369F1">
              <w:rPr>
                <w:rFonts w:ascii="Tahoma" w:hAnsi="Tahoma" w:cs="Tahoma"/>
              </w:rPr>
              <w:t>Dave</w:t>
            </w:r>
            <w:r w:rsidR="0082022B" w:rsidRPr="0082022B">
              <w:rPr>
                <w:rFonts w:ascii="Tahoma" w:hAnsi="Tahoma" w:cs="Tahoma"/>
              </w:rPr>
              <w:t xml:space="preserve"> Weaver, Concept Consulting</w:t>
            </w:r>
          </w:p>
        </w:tc>
      </w:tr>
      <w:tr w:rsidR="00DE27B7" w:rsidRPr="0084774A" w14:paraId="13B29542" w14:textId="555DF156" w:rsidTr="00045AC6">
        <w:tc>
          <w:tcPr>
            <w:tcW w:w="884" w:type="dxa"/>
            <w:shd w:val="clear" w:color="auto" w:fill="D9D9D9" w:themeFill="background1" w:themeFillShade="D9"/>
            <w:tcMar>
              <w:top w:w="85" w:type="dxa"/>
              <w:bottom w:w="85" w:type="dxa"/>
            </w:tcMar>
          </w:tcPr>
          <w:p w14:paraId="3004D224" w14:textId="6153BCCA" w:rsidR="00DE27B7" w:rsidRPr="00DF3FEA" w:rsidRDefault="00DE27B7" w:rsidP="0084774A">
            <w:pPr>
              <w:pStyle w:val="BodyText"/>
              <w:spacing w:after="120"/>
              <w:rPr>
                <w:rFonts w:ascii="Tahoma" w:hAnsi="Tahoma" w:cs="Tahoma"/>
                <w:b/>
              </w:rPr>
            </w:pPr>
            <w:r w:rsidRPr="00DF3FEA">
              <w:rPr>
                <w:rFonts w:ascii="Tahoma" w:hAnsi="Tahoma" w:cs="Tahoma"/>
                <w:b/>
              </w:rPr>
              <w:t>1</w:t>
            </w:r>
          </w:p>
        </w:tc>
        <w:tc>
          <w:tcPr>
            <w:tcW w:w="9005" w:type="dxa"/>
            <w:gridSpan w:val="2"/>
            <w:shd w:val="clear" w:color="auto" w:fill="D9D9D9" w:themeFill="background1" w:themeFillShade="D9"/>
            <w:tcMar>
              <w:top w:w="85" w:type="dxa"/>
              <w:bottom w:w="85" w:type="dxa"/>
            </w:tcMar>
          </w:tcPr>
          <w:p w14:paraId="43FE73F0" w14:textId="7243BB67" w:rsidR="00DE27B7" w:rsidRPr="00DF3FEA" w:rsidRDefault="00AC6439" w:rsidP="0084774A">
            <w:pPr>
              <w:pStyle w:val="BodyText"/>
              <w:spacing w:after="120"/>
              <w:rPr>
                <w:rFonts w:ascii="Tahoma" w:hAnsi="Tahoma" w:cs="Tahoma"/>
                <w:b/>
              </w:rPr>
            </w:pPr>
            <w:r>
              <w:rPr>
                <w:rFonts w:ascii="Tahoma" w:hAnsi="Tahoma" w:cs="Tahoma"/>
                <w:b/>
              </w:rPr>
              <w:t>Special allocation consultation submissions</w:t>
            </w:r>
          </w:p>
        </w:tc>
      </w:tr>
      <w:tr w:rsidR="00DE27B7" w:rsidRPr="00DF3FEA" w14:paraId="476E1CC2" w14:textId="799F1156" w:rsidTr="00045AC6">
        <w:trPr>
          <w:trHeight w:val="537"/>
        </w:trPr>
        <w:tc>
          <w:tcPr>
            <w:tcW w:w="884" w:type="dxa"/>
            <w:tcMar>
              <w:top w:w="85" w:type="dxa"/>
              <w:bottom w:w="85" w:type="dxa"/>
            </w:tcMar>
          </w:tcPr>
          <w:p w14:paraId="4514BB00" w14:textId="77777777" w:rsidR="00DE27B7" w:rsidRPr="00DF3FEA" w:rsidRDefault="00DE27B7" w:rsidP="00E97535">
            <w:pPr>
              <w:pStyle w:val="BodyText"/>
              <w:rPr>
                <w:rFonts w:ascii="Tahoma" w:hAnsi="Tahoma" w:cs="Tahoma"/>
              </w:rPr>
            </w:pPr>
          </w:p>
        </w:tc>
        <w:tc>
          <w:tcPr>
            <w:tcW w:w="9005" w:type="dxa"/>
            <w:gridSpan w:val="2"/>
            <w:tcMar>
              <w:top w:w="85" w:type="dxa"/>
              <w:bottom w:w="85" w:type="dxa"/>
            </w:tcMar>
          </w:tcPr>
          <w:p w14:paraId="4136F058" w14:textId="77777777" w:rsidR="00AC6439" w:rsidRDefault="00AC6439" w:rsidP="00AC6439">
            <w:pPr>
              <w:pStyle w:val="ListBullet"/>
              <w:numPr>
                <w:ilvl w:val="0"/>
                <w:numId w:val="2"/>
              </w:numPr>
              <w:spacing w:before="40"/>
              <w:ind w:left="357" w:hanging="357"/>
              <w:contextualSpacing w:val="0"/>
              <w:rPr>
                <w:rFonts w:ascii="Tahoma" w:hAnsi="Tahoma" w:cs="Tahoma"/>
              </w:rPr>
            </w:pPr>
            <w:r>
              <w:rPr>
                <w:rFonts w:ascii="Tahoma" w:hAnsi="Tahoma" w:cs="Tahoma"/>
              </w:rPr>
              <w:t>GIC summarised the submissions received on the special allocation consultation.  Of the 7 submissions received, 5 supported the proposal; one supported in principle, and Vector opposed, citing inconsistencies with the VTC.</w:t>
            </w:r>
          </w:p>
          <w:p w14:paraId="75F7A9DC" w14:textId="4E2AB183" w:rsidR="00AC6439" w:rsidRDefault="00AC6439" w:rsidP="00AC6439">
            <w:pPr>
              <w:pStyle w:val="ListBullet"/>
              <w:numPr>
                <w:ilvl w:val="0"/>
                <w:numId w:val="2"/>
              </w:numPr>
              <w:spacing w:before="40"/>
              <w:ind w:left="357" w:hanging="357"/>
              <w:contextualSpacing w:val="0"/>
              <w:rPr>
                <w:rFonts w:ascii="Tahoma" w:hAnsi="Tahoma" w:cs="Tahoma"/>
              </w:rPr>
            </w:pPr>
            <w:r>
              <w:rPr>
                <w:rFonts w:ascii="Tahoma" w:hAnsi="Tahoma" w:cs="Tahoma"/>
              </w:rPr>
              <w:t>GIC presented some analysis of the magnitude of the concerns raised by Vector and asked, where does that leave us?</w:t>
            </w:r>
            <w:r w:rsidR="00610A6D">
              <w:rPr>
                <w:rFonts w:ascii="Tahoma" w:hAnsi="Tahoma" w:cs="Tahoma"/>
              </w:rPr>
              <w:t xml:space="preserve">  Should we even continue the trial?</w:t>
            </w:r>
          </w:p>
          <w:p w14:paraId="6339E6D9" w14:textId="1C0ADF41" w:rsidR="00AC6439" w:rsidRDefault="00610A6D" w:rsidP="00AC6439">
            <w:pPr>
              <w:pStyle w:val="ListBullet"/>
              <w:numPr>
                <w:ilvl w:val="0"/>
                <w:numId w:val="2"/>
              </w:numPr>
              <w:spacing w:before="40"/>
              <w:ind w:left="357" w:hanging="357"/>
              <w:contextualSpacing w:val="0"/>
              <w:rPr>
                <w:rFonts w:ascii="Tahoma" w:hAnsi="Tahoma" w:cs="Tahoma"/>
              </w:rPr>
            </w:pPr>
            <w:r>
              <w:rPr>
                <w:rFonts w:ascii="Tahoma" w:hAnsi="Tahoma" w:cs="Tahoma"/>
              </w:rPr>
              <w:t xml:space="preserve">A couple of retailers said that D+1 </w:t>
            </w:r>
            <w:r w:rsidR="00A5435F">
              <w:rPr>
                <w:rFonts w:ascii="Tahoma" w:hAnsi="Tahoma" w:cs="Tahoma"/>
              </w:rPr>
              <w:t>allocations were</w:t>
            </w:r>
            <w:r>
              <w:rPr>
                <w:rFonts w:ascii="Tahoma" w:hAnsi="Tahoma" w:cs="Tahoma"/>
              </w:rPr>
              <w:t xml:space="preserve"> useful even in the absence of </w:t>
            </w:r>
            <w:r w:rsidR="00A10F4C">
              <w:rPr>
                <w:rFonts w:ascii="Tahoma" w:hAnsi="Tahoma" w:cs="Tahoma"/>
              </w:rPr>
              <w:t>daily BBP, as it provided another piece of information that could be used to manage positions.  Others said that it was helpful in estimating load but not, by itself, useful to inform primary balancing decisions.  Another retailer said that D+1 had no value without daily BPP information.</w:t>
            </w:r>
          </w:p>
          <w:p w14:paraId="54EAFA10" w14:textId="31857BAE" w:rsidR="00A10F4C" w:rsidRDefault="00A10F4C" w:rsidP="00AC6439">
            <w:pPr>
              <w:pStyle w:val="ListBullet"/>
              <w:numPr>
                <w:ilvl w:val="0"/>
                <w:numId w:val="2"/>
              </w:numPr>
              <w:spacing w:before="40"/>
              <w:ind w:left="357" w:hanging="357"/>
              <w:contextualSpacing w:val="0"/>
              <w:rPr>
                <w:rFonts w:ascii="Tahoma" w:hAnsi="Tahoma" w:cs="Tahoma"/>
              </w:rPr>
            </w:pPr>
            <w:r>
              <w:rPr>
                <w:rFonts w:ascii="Tahoma" w:hAnsi="Tahoma" w:cs="Tahoma"/>
              </w:rPr>
              <w:t>Dave noted that he has been sending information on residual volumes to shippers.  This is the volume left in a pool after D+1 has allocated allocation group 1 and 2 customers.  Shippers can use this information for their own estimation.</w:t>
            </w:r>
          </w:p>
          <w:p w14:paraId="2E296D20" w14:textId="77777777" w:rsidR="00BC13CB" w:rsidRDefault="00BC13CB" w:rsidP="00045AC6">
            <w:pPr>
              <w:pStyle w:val="ListBullet"/>
              <w:numPr>
                <w:ilvl w:val="0"/>
                <w:numId w:val="0"/>
              </w:numPr>
              <w:spacing w:before="40"/>
              <w:contextualSpacing w:val="0"/>
              <w:rPr>
                <w:rFonts w:ascii="Tahoma" w:hAnsi="Tahoma" w:cs="Tahoma"/>
              </w:rPr>
            </w:pPr>
          </w:p>
          <w:p w14:paraId="74798BEF" w14:textId="75FA5857" w:rsidR="00BC13CB" w:rsidRPr="00BC13CB" w:rsidRDefault="00BC13CB" w:rsidP="00BC13CB">
            <w:pPr>
              <w:pStyle w:val="ListBullet"/>
              <w:keepNext/>
              <w:keepLines/>
              <w:numPr>
                <w:ilvl w:val="0"/>
                <w:numId w:val="0"/>
              </w:numPr>
              <w:spacing w:before="40"/>
              <w:ind w:left="360" w:hanging="360"/>
              <w:contextualSpacing w:val="0"/>
              <w:rPr>
                <w:rFonts w:ascii="Tahoma" w:hAnsi="Tahoma" w:cs="Tahoma"/>
                <w:b/>
                <w:u w:val="single"/>
              </w:rPr>
            </w:pPr>
            <w:r w:rsidRPr="00BC13CB">
              <w:rPr>
                <w:rFonts w:ascii="Tahoma" w:hAnsi="Tahoma" w:cs="Tahoma"/>
                <w:b/>
                <w:u w:val="single"/>
              </w:rPr>
              <w:t>Issues discussed about D+1:</w:t>
            </w:r>
          </w:p>
          <w:p w14:paraId="201C0003" w14:textId="6D39370C" w:rsidR="00BC13CB" w:rsidRPr="00BC13CB" w:rsidRDefault="00BC13CB" w:rsidP="00BC13CB">
            <w:pPr>
              <w:pStyle w:val="ListBullet"/>
              <w:keepNext/>
              <w:keepLines/>
              <w:numPr>
                <w:ilvl w:val="0"/>
                <w:numId w:val="0"/>
              </w:numPr>
              <w:spacing w:before="40"/>
              <w:ind w:left="360" w:hanging="360"/>
              <w:contextualSpacing w:val="0"/>
              <w:rPr>
                <w:rFonts w:ascii="Tahoma" w:hAnsi="Tahoma" w:cs="Tahoma"/>
                <w:u w:val="single"/>
              </w:rPr>
            </w:pPr>
            <w:r w:rsidRPr="00BC13CB">
              <w:rPr>
                <w:rFonts w:ascii="Tahoma" w:hAnsi="Tahoma" w:cs="Tahoma"/>
                <w:u w:val="single"/>
              </w:rPr>
              <w:t>Use of validated data</w:t>
            </w:r>
          </w:p>
          <w:p w14:paraId="68E687F8" w14:textId="68238CAA" w:rsidR="00A10F4C" w:rsidRDefault="00A10F4C" w:rsidP="00BC13CB">
            <w:pPr>
              <w:pStyle w:val="ListBullet"/>
              <w:keepLines/>
              <w:numPr>
                <w:ilvl w:val="0"/>
                <w:numId w:val="2"/>
              </w:numPr>
              <w:spacing w:before="40"/>
              <w:ind w:left="357" w:hanging="357"/>
              <w:contextualSpacing w:val="0"/>
              <w:rPr>
                <w:rFonts w:ascii="Tahoma" w:hAnsi="Tahoma" w:cs="Tahoma"/>
              </w:rPr>
            </w:pPr>
            <w:r>
              <w:rPr>
                <w:rFonts w:ascii="Tahoma" w:hAnsi="Tahoma" w:cs="Tahoma"/>
              </w:rPr>
              <w:t xml:space="preserve">Attendees discussed the possibility of using D+1 results based on validated metering data as the basis for daily BPP calculations.  Validated data are available at about 2PM, which would allow D+1 to be produced by 3PM and BPP results by 5PM.  That would still provide some time </w:t>
            </w:r>
            <w:r>
              <w:rPr>
                <w:rFonts w:ascii="Tahoma" w:hAnsi="Tahoma" w:cs="Tahoma"/>
              </w:rPr>
              <w:lastRenderedPageBreak/>
              <w:t>before the 6PM</w:t>
            </w:r>
            <w:r w:rsidR="00A5435F">
              <w:rPr>
                <w:rFonts w:ascii="Tahoma" w:hAnsi="Tahoma" w:cs="Tahoma"/>
              </w:rPr>
              <w:t xml:space="preserve"> close of the last intra-day</w:t>
            </w:r>
            <w:r>
              <w:rPr>
                <w:rFonts w:ascii="Tahoma" w:hAnsi="Tahoma" w:cs="Tahoma"/>
              </w:rPr>
              <w:t xml:space="preserve"> Maui nominations cycle.</w:t>
            </w:r>
          </w:p>
          <w:p w14:paraId="2E94CDE5" w14:textId="2123940F" w:rsidR="00A10F4C" w:rsidRDefault="00A10F4C" w:rsidP="00AC6439">
            <w:pPr>
              <w:pStyle w:val="ListBullet"/>
              <w:numPr>
                <w:ilvl w:val="0"/>
                <w:numId w:val="2"/>
              </w:numPr>
              <w:spacing w:before="40"/>
              <w:ind w:left="357" w:hanging="357"/>
              <w:contextualSpacing w:val="0"/>
              <w:rPr>
                <w:rFonts w:ascii="Tahoma" w:hAnsi="Tahoma" w:cs="Tahoma"/>
              </w:rPr>
            </w:pPr>
            <w:r>
              <w:rPr>
                <w:rFonts w:ascii="Tahoma" w:hAnsi="Tahoma" w:cs="Tahoma"/>
              </w:rPr>
              <w:t xml:space="preserve">Vector interruptible nominations are due an hour prior to Maui nominations, so 5PM BPP positions would be too late to inform 5PM Vector interruptible nominations.  Dave noted that when </w:t>
            </w:r>
            <w:r w:rsidR="00297065">
              <w:rPr>
                <w:rFonts w:ascii="Tahoma" w:hAnsi="Tahoma" w:cs="Tahoma"/>
              </w:rPr>
              <w:t xml:space="preserve">Vector begins </w:t>
            </w:r>
            <w:r w:rsidR="00BC13CB">
              <w:rPr>
                <w:rFonts w:ascii="Tahoma" w:hAnsi="Tahoma" w:cs="Tahoma"/>
              </w:rPr>
              <w:t>supplying metering data via ftp, it will streamline the D+1 process and shave some time from D+1 model runs.  There may also be some headroom in the 2 hours estimated to be needed for BPP calculations.  Or perhaps Vector could change their deadline?</w:t>
            </w:r>
          </w:p>
          <w:p w14:paraId="34EE5973" w14:textId="77777777" w:rsidR="00A10F4C" w:rsidRDefault="00BC13CB" w:rsidP="00AC6439">
            <w:pPr>
              <w:pStyle w:val="ListBullet"/>
              <w:numPr>
                <w:ilvl w:val="0"/>
                <w:numId w:val="2"/>
              </w:numPr>
              <w:spacing w:before="40"/>
              <w:ind w:left="357" w:hanging="357"/>
              <w:contextualSpacing w:val="0"/>
              <w:rPr>
                <w:rFonts w:ascii="Tahoma" w:hAnsi="Tahoma" w:cs="Tahoma"/>
              </w:rPr>
            </w:pPr>
            <w:r>
              <w:rPr>
                <w:rFonts w:ascii="Tahoma" w:hAnsi="Tahoma" w:cs="Tahoma"/>
              </w:rPr>
              <w:t>Validated data are still not complete:  daily results will not include validated results for meters not read daily nor data on metering corrections</w:t>
            </w:r>
          </w:p>
          <w:p w14:paraId="6CF3D33F" w14:textId="77777777" w:rsidR="00BC13CB" w:rsidRDefault="00BC13CB" w:rsidP="00AC6439">
            <w:pPr>
              <w:pStyle w:val="ListBullet"/>
              <w:numPr>
                <w:ilvl w:val="0"/>
                <w:numId w:val="2"/>
              </w:numPr>
              <w:spacing w:before="40"/>
              <w:ind w:left="357" w:hanging="357"/>
              <w:contextualSpacing w:val="0"/>
              <w:rPr>
                <w:rFonts w:ascii="Tahoma" w:hAnsi="Tahoma" w:cs="Tahoma"/>
              </w:rPr>
            </w:pPr>
            <w:r>
              <w:rPr>
                <w:rFonts w:ascii="Tahoma" w:hAnsi="Tahoma" w:cs="Tahoma"/>
              </w:rPr>
              <w:t>As a start, shippers could perhaps agree to a 5 day a week process as a way to get things rolling and to keep costs down</w:t>
            </w:r>
          </w:p>
          <w:p w14:paraId="5A391734" w14:textId="77777777" w:rsidR="00BC13CB"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Shippers generally seemed to agree that using 2PM validated data for a 5 day a week BPP process was a pragmatic way forward.</w:t>
            </w:r>
          </w:p>
          <w:p w14:paraId="29528926" w14:textId="77777777" w:rsidR="00DE7783" w:rsidRDefault="00DE7783" w:rsidP="00DE7783">
            <w:pPr>
              <w:pStyle w:val="ListBullet"/>
              <w:numPr>
                <w:ilvl w:val="0"/>
                <w:numId w:val="0"/>
              </w:numPr>
              <w:spacing w:before="40"/>
              <w:ind w:left="360" w:hanging="360"/>
              <w:contextualSpacing w:val="0"/>
              <w:rPr>
                <w:rFonts w:ascii="Tahoma" w:hAnsi="Tahoma" w:cs="Tahoma"/>
              </w:rPr>
            </w:pPr>
          </w:p>
          <w:p w14:paraId="5E643CF0" w14:textId="46829DA0" w:rsidR="00DE7783" w:rsidRPr="00DE7783" w:rsidRDefault="00DE7783" w:rsidP="00DE7783">
            <w:pPr>
              <w:pStyle w:val="ListBullet"/>
              <w:numPr>
                <w:ilvl w:val="0"/>
                <w:numId w:val="0"/>
              </w:numPr>
              <w:spacing w:before="40"/>
              <w:ind w:left="360" w:hanging="360"/>
              <w:contextualSpacing w:val="0"/>
              <w:rPr>
                <w:rFonts w:ascii="Tahoma" w:hAnsi="Tahoma" w:cs="Tahoma"/>
                <w:u w:val="single"/>
              </w:rPr>
            </w:pPr>
            <w:r w:rsidRPr="00DE7783">
              <w:rPr>
                <w:rFonts w:ascii="Tahoma" w:hAnsi="Tahoma" w:cs="Tahoma"/>
                <w:u w:val="single"/>
              </w:rPr>
              <w:t>Washups</w:t>
            </w:r>
          </w:p>
          <w:p w14:paraId="3A08FFA1" w14:textId="77777777" w:rsidR="00DE7783"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How will wash-ups be done for consumption months prior to October?  In the absence of changes, a lot of volume will fall on 1 October; shippers will be incentivised to “pre-load” to manage this volume.</w:t>
            </w:r>
          </w:p>
          <w:p w14:paraId="2061D90A" w14:textId="64D026E7" w:rsidR="00DE7783"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Shippers previously discussed that a pragmatic solution would be to spread the returned volume equally over the days of the month, so as to avoid sudden changes to their running mismatch positions</w:t>
            </w:r>
          </w:p>
          <w:p w14:paraId="207156B1" w14:textId="77777777" w:rsidR="00DE7783"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Vector indicated that it will do its best on this issue and will be writing to shippers</w:t>
            </w:r>
          </w:p>
          <w:p w14:paraId="1F2C077D" w14:textId="2BE481F2" w:rsidR="00DE7783"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For wash-ups post MBB, the majority of Vector shippers voted for the hybrid method.</w:t>
            </w:r>
          </w:p>
          <w:p w14:paraId="7859EF36" w14:textId="1FC54815" w:rsidR="00DE7783"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An unresolved issue is whether wash-ups are done for interim results as well as for finals, or for finals only.  Vector would be in favour of doing both wash-ups, but the resources required to do both need to be factored into the decision.</w:t>
            </w:r>
          </w:p>
          <w:p w14:paraId="6E6B12EF" w14:textId="36D83D9C" w:rsidR="00DE7783" w:rsidRDefault="00DE7783" w:rsidP="00AC6439">
            <w:pPr>
              <w:pStyle w:val="ListBullet"/>
              <w:numPr>
                <w:ilvl w:val="0"/>
                <w:numId w:val="2"/>
              </w:numPr>
              <w:spacing w:before="40"/>
              <w:ind w:left="357" w:hanging="357"/>
              <w:contextualSpacing w:val="0"/>
              <w:rPr>
                <w:rFonts w:ascii="Tahoma" w:hAnsi="Tahoma" w:cs="Tahoma"/>
              </w:rPr>
            </w:pPr>
            <w:r>
              <w:rPr>
                <w:rFonts w:ascii="Tahoma" w:hAnsi="Tahoma" w:cs="Tahoma"/>
              </w:rPr>
              <w:t xml:space="preserve">The method of implementing the wash-ups is most likely via a side letter, as Vector would be reluctant to </w:t>
            </w:r>
            <w:r w:rsidR="00045AC6">
              <w:rPr>
                <w:rFonts w:ascii="Tahoma" w:hAnsi="Tahoma" w:cs="Tahoma"/>
              </w:rPr>
              <w:t xml:space="preserve">change the VTC for a trial.  The issue will be discussed </w:t>
            </w:r>
            <w:r w:rsidR="00A5435F">
              <w:rPr>
                <w:rFonts w:ascii="Tahoma" w:hAnsi="Tahoma" w:cs="Tahoma"/>
              </w:rPr>
              <w:t xml:space="preserve">further </w:t>
            </w:r>
            <w:r w:rsidR="00045AC6">
              <w:rPr>
                <w:rFonts w:ascii="Tahoma" w:hAnsi="Tahoma" w:cs="Tahoma"/>
              </w:rPr>
              <w:t>at next week’s shipper meeting.</w:t>
            </w:r>
          </w:p>
          <w:p w14:paraId="29EC30F8" w14:textId="77777777" w:rsidR="00045AC6" w:rsidRDefault="00045AC6" w:rsidP="00045AC6">
            <w:pPr>
              <w:pStyle w:val="ListBullet"/>
              <w:numPr>
                <w:ilvl w:val="0"/>
                <w:numId w:val="0"/>
              </w:numPr>
              <w:spacing w:before="40"/>
              <w:ind w:left="360" w:hanging="360"/>
              <w:contextualSpacing w:val="0"/>
              <w:rPr>
                <w:rFonts w:ascii="Tahoma" w:hAnsi="Tahoma" w:cs="Tahoma"/>
              </w:rPr>
            </w:pPr>
          </w:p>
          <w:p w14:paraId="7F7F0E39" w14:textId="48518D94" w:rsidR="00045AC6" w:rsidRPr="00045AC6" w:rsidRDefault="00045AC6" w:rsidP="00045AC6">
            <w:pPr>
              <w:pStyle w:val="ListBullet"/>
              <w:numPr>
                <w:ilvl w:val="0"/>
                <w:numId w:val="0"/>
              </w:numPr>
              <w:spacing w:before="40"/>
              <w:ind w:left="360" w:hanging="360"/>
              <w:contextualSpacing w:val="0"/>
              <w:rPr>
                <w:rFonts w:ascii="Tahoma" w:hAnsi="Tahoma" w:cs="Tahoma"/>
                <w:u w:val="single"/>
              </w:rPr>
            </w:pPr>
            <w:r w:rsidRPr="00045AC6">
              <w:rPr>
                <w:rFonts w:ascii="Tahoma" w:hAnsi="Tahoma" w:cs="Tahoma"/>
                <w:u w:val="single"/>
              </w:rPr>
              <w:t>Costs of daily BPP</w:t>
            </w:r>
          </w:p>
          <w:p w14:paraId="64201196" w14:textId="77777777" w:rsidR="00DE7783" w:rsidRDefault="00045AC6" w:rsidP="00AC6439">
            <w:pPr>
              <w:pStyle w:val="ListBullet"/>
              <w:numPr>
                <w:ilvl w:val="0"/>
                <w:numId w:val="2"/>
              </w:numPr>
              <w:spacing w:before="40"/>
              <w:ind w:left="357" w:hanging="357"/>
              <w:contextualSpacing w:val="0"/>
              <w:rPr>
                <w:rFonts w:ascii="Tahoma" w:hAnsi="Tahoma" w:cs="Tahoma"/>
              </w:rPr>
            </w:pPr>
            <w:r>
              <w:rPr>
                <w:rFonts w:ascii="Tahoma" w:hAnsi="Tahoma" w:cs="Tahoma"/>
              </w:rPr>
              <w:t>Vector is working on a cost estimate for implementing daily BPP and will discuss at next week’s meeting</w:t>
            </w:r>
          </w:p>
          <w:p w14:paraId="3012B52E" w14:textId="1D6F4782" w:rsidR="00045AC6" w:rsidRDefault="00045AC6" w:rsidP="00AC6439">
            <w:pPr>
              <w:pStyle w:val="ListBullet"/>
              <w:numPr>
                <w:ilvl w:val="0"/>
                <w:numId w:val="2"/>
              </w:numPr>
              <w:spacing w:before="40"/>
              <w:ind w:left="357" w:hanging="357"/>
              <w:contextualSpacing w:val="0"/>
              <w:rPr>
                <w:rFonts w:ascii="Tahoma" w:hAnsi="Tahoma" w:cs="Tahoma"/>
              </w:rPr>
            </w:pPr>
            <w:r>
              <w:rPr>
                <w:rFonts w:ascii="Tahoma" w:hAnsi="Tahoma" w:cs="Tahoma"/>
              </w:rPr>
              <w:t xml:space="preserve">It was noted that shippers will get a good idea of the costs of MBB without daily BPP information in October, which will provide a good comparison to the </w:t>
            </w:r>
            <w:r w:rsidR="00A5435F">
              <w:rPr>
                <w:rFonts w:ascii="Tahoma" w:hAnsi="Tahoma" w:cs="Tahoma"/>
              </w:rPr>
              <w:t xml:space="preserve">incremental </w:t>
            </w:r>
            <w:r>
              <w:rPr>
                <w:rFonts w:ascii="Tahoma" w:hAnsi="Tahoma" w:cs="Tahoma"/>
              </w:rPr>
              <w:t xml:space="preserve">costs of </w:t>
            </w:r>
            <w:r w:rsidR="00A5435F">
              <w:rPr>
                <w:rFonts w:ascii="Tahoma" w:hAnsi="Tahoma" w:cs="Tahoma"/>
              </w:rPr>
              <w:t xml:space="preserve">creating </w:t>
            </w:r>
            <w:r>
              <w:rPr>
                <w:rFonts w:ascii="Tahoma" w:hAnsi="Tahoma" w:cs="Tahoma"/>
              </w:rPr>
              <w:t>daily BPP</w:t>
            </w:r>
            <w:r w:rsidR="00A5435F">
              <w:rPr>
                <w:rFonts w:ascii="Tahoma" w:hAnsi="Tahoma" w:cs="Tahoma"/>
              </w:rPr>
              <w:t xml:space="preserve"> information</w:t>
            </w:r>
          </w:p>
          <w:p w14:paraId="3791B17A" w14:textId="77777777" w:rsidR="00045AC6" w:rsidRDefault="00045AC6" w:rsidP="00045AC6">
            <w:pPr>
              <w:pStyle w:val="ListBullet"/>
              <w:numPr>
                <w:ilvl w:val="0"/>
                <w:numId w:val="0"/>
              </w:numPr>
              <w:spacing w:before="40"/>
              <w:ind w:left="360" w:hanging="360"/>
              <w:contextualSpacing w:val="0"/>
              <w:rPr>
                <w:rFonts w:ascii="Tahoma" w:hAnsi="Tahoma" w:cs="Tahoma"/>
              </w:rPr>
            </w:pPr>
          </w:p>
          <w:p w14:paraId="6B5277A0" w14:textId="55C41AF4" w:rsidR="00045AC6" w:rsidRPr="00045AC6" w:rsidRDefault="00045AC6" w:rsidP="00045AC6">
            <w:pPr>
              <w:pStyle w:val="ListBullet"/>
              <w:numPr>
                <w:ilvl w:val="0"/>
                <w:numId w:val="0"/>
              </w:numPr>
              <w:spacing w:before="40"/>
              <w:ind w:left="360" w:hanging="360"/>
              <w:contextualSpacing w:val="0"/>
              <w:rPr>
                <w:rFonts w:ascii="Tahoma" w:hAnsi="Tahoma" w:cs="Tahoma"/>
                <w:u w:val="single"/>
              </w:rPr>
            </w:pPr>
            <w:r w:rsidRPr="00045AC6">
              <w:rPr>
                <w:rFonts w:ascii="Tahoma" w:hAnsi="Tahoma" w:cs="Tahoma"/>
                <w:u w:val="single"/>
              </w:rPr>
              <w:t>Legal issues</w:t>
            </w:r>
          </w:p>
          <w:p w14:paraId="346CEDB1" w14:textId="324F9C94" w:rsidR="00045AC6" w:rsidRDefault="00045AC6" w:rsidP="00AC6439">
            <w:pPr>
              <w:pStyle w:val="ListBullet"/>
              <w:numPr>
                <w:ilvl w:val="0"/>
                <w:numId w:val="2"/>
              </w:numPr>
              <w:spacing w:before="40"/>
              <w:ind w:left="357" w:hanging="357"/>
              <w:contextualSpacing w:val="0"/>
              <w:rPr>
                <w:rFonts w:ascii="Tahoma" w:hAnsi="Tahoma" w:cs="Tahoma"/>
              </w:rPr>
            </w:pPr>
            <w:r>
              <w:rPr>
                <w:rFonts w:ascii="Tahoma" w:hAnsi="Tahoma" w:cs="Tahoma"/>
              </w:rPr>
              <w:t xml:space="preserve">Side letter seems the most practical way to address the implementation issues raised by D+1 and daily BPP processes.  The difficulty is that it will need the unanimous agreement of Vector and its shippers.  Attendees were hopeful that agreement could be reached, given that the alternative is to “fly blind” </w:t>
            </w:r>
            <w:r w:rsidR="00A5435F">
              <w:rPr>
                <w:rFonts w:ascii="Tahoma" w:hAnsi="Tahoma" w:cs="Tahoma"/>
              </w:rPr>
              <w:t>in</w:t>
            </w:r>
            <w:r>
              <w:rPr>
                <w:rFonts w:ascii="Tahoma" w:hAnsi="Tahoma" w:cs="Tahoma"/>
              </w:rPr>
              <w:t xml:space="preserve"> month</w:t>
            </w:r>
            <w:r w:rsidR="00A5435F">
              <w:rPr>
                <w:rFonts w:ascii="Tahoma" w:hAnsi="Tahoma" w:cs="Tahoma"/>
              </w:rPr>
              <w:t>s where daily BPP information cannot be provided</w:t>
            </w:r>
            <w:r>
              <w:rPr>
                <w:rFonts w:ascii="Tahoma" w:hAnsi="Tahoma" w:cs="Tahoma"/>
              </w:rPr>
              <w:t>.</w:t>
            </w:r>
          </w:p>
          <w:p w14:paraId="6B2C4D63" w14:textId="77777777" w:rsidR="00045AC6" w:rsidRDefault="00045AC6" w:rsidP="00AC6439">
            <w:pPr>
              <w:pStyle w:val="ListBullet"/>
              <w:numPr>
                <w:ilvl w:val="0"/>
                <w:numId w:val="2"/>
              </w:numPr>
              <w:spacing w:before="40"/>
              <w:ind w:left="357" w:hanging="357"/>
              <w:contextualSpacing w:val="0"/>
              <w:rPr>
                <w:rFonts w:ascii="Tahoma" w:hAnsi="Tahoma" w:cs="Tahoma"/>
              </w:rPr>
            </w:pPr>
            <w:r>
              <w:rPr>
                <w:rFonts w:ascii="Tahoma" w:hAnsi="Tahoma" w:cs="Tahoma"/>
              </w:rPr>
              <w:t>Would shippers agree to an indemnity?  No one would sign up to an agreement without knowing what costs it entails.  Shippers noted that everyone in the industry is incurring costs in preparing for MBB</w:t>
            </w:r>
            <w:r w:rsidR="00863160">
              <w:rPr>
                <w:rFonts w:ascii="Tahoma" w:hAnsi="Tahoma" w:cs="Tahoma"/>
              </w:rPr>
              <w:t>; Vector should also bear a fair share of its costs.  Shippers would need to see a draft letter before being able to comment on whether it was acceptable.</w:t>
            </w:r>
          </w:p>
          <w:p w14:paraId="44C0C466" w14:textId="77777777" w:rsidR="00863160" w:rsidRDefault="00863160" w:rsidP="00AC6439">
            <w:pPr>
              <w:pStyle w:val="ListBullet"/>
              <w:numPr>
                <w:ilvl w:val="0"/>
                <w:numId w:val="2"/>
              </w:numPr>
              <w:spacing w:before="40"/>
              <w:ind w:left="357" w:hanging="357"/>
              <w:contextualSpacing w:val="0"/>
              <w:rPr>
                <w:rFonts w:ascii="Tahoma" w:hAnsi="Tahoma" w:cs="Tahoma"/>
              </w:rPr>
            </w:pPr>
            <w:r>
              <w:rPr>
                <w:rFonts w:ascii="Tahoma" w:hAnsi="Tahoma" w:cs="Tahoma"/>
              </w:rPr>
              <w:t>Vector noted that it probably wouldn’t have a full legal document done in time for the shipper meeting next week but would try to provide an outline of what such a document would contain so it could be discussed next week.  This issue may not be able to be resolved completely at next week’s meeting; other meetings may be required.</w:t>
            </w:r>
          </w:p>
          <w:p w14:paraId="0AD26A25" w14:textId="77777777" w:rsidR="00863160" w:rsidRDefault="00863160" w:rsidP="00AC6439">
            <w:pPr>
              <w:pStyle w:val="ListBullet"/>
              <w:numPr>
                <w:ilvl w:val="0"/>
                <w:numId w:val="2"/>
              </w:numPr>
              <w:spacing w:before="40"/>
              <w:ind w:left="357" w:hanging="357"/>
              <w:contextualSpacing w:val="0"/>
              <w:rPr>
                <w:rFonts w:ascii="Tahoma" w:hAnsi="Tahoma" w:cs="Tahoma"/>
              </w:rPr>
            </w:pPr>
            <w:r>
              <w:rPr>
                <w:rFonts w:ascii="Tahoma" w:hAnsi="Tahoma" w:cs="Tahoma"/>
              </w:rPr>
              <w:t>There is an incentive for Vector shippers to keep moving on this issue, as without an agreement there is no daily BPP.</w:t>
            </w:r>
          </w:p>
          <w:p w14:paraId="6D9B478F" w14:textId="339F0743" w:rsidR="00863160" w:rsidRDefault="00863160" w:rsidP="00AC6439">
            <w:pPr>
              <w:pStyle w:val="ListBullet"/>
              <w:numPr>
                <w:ilvl w:val="0"/>
                <w:numId w:val="2"/>
              </w:numPr>
              <w:spacing w:before="40"/>
              <w:ind w:left="357" w:hanging="357"/>
              <w:contextualSpacing w:val="0"/>
              <w:rPr>
                <w:rFonts w:ascii="Tahoma" w:hAnsi="Tahoma" w:cs="Tahoma"/>
              </w:rPr>
            </w:pPr>
            <w:r>
              <w:rPr>
                <w:rFonts w:ascii="Tahoma" w:hAnsi="Tahoma" w:cs="Tahoma"/>
              </w:rPr>
              <w:t>In the future, the GTA and BPP calculations may be done by the allocation agent</w:t>
            </w:r>
            <w:r w:rsidR="00445527">
              <w:rPr>
                <w:rFonts w:ascii="Tahoma" w:hAnsi="Tahoma" w:cs="Tahoma"/>
              </w:rPr>
              <w:t xml:space="preserve"> as part of its obligations under the rules</w:t>
            </w:r>
            <w:r>
              <w:rPr>
                <w:rFonts w:ascii="Tahoma" w:hAnsi="Tahoma" w:cs="Tahoma"/>
              </w:rPr>
              <w:t xml:space="preserve">.  </w:t>
            </w:r>
            <w:r w:rsidR="00445527">
              <w:rPr>
                <w:rFonts w:ascii="Tahoma" w:hAnsi="Tahoma" w:cs="Tahoma"/>
              </w:rPr>
              <w:t>Such a move would reduce the transmission owners costs as it would no longer need to provide the daily BPP service nor the existing GTA/BPP service (but simply use the outputs for invoicing).</w:t>
            </w:r>
            <w:r w:rsidR="00D12479">
              <w:rPr>
                <w:rFonts w:ascii="Tahoma" w:hAnsi="Tahoma" w:cs="Tahoma"/>
              </w:rPr>
              <w:t xml:space="preserve">  </w:t>
            </w:r>
          </w:p>
          <w:p w14:paraId="672D143C" w14:textId="79151FE6" w:rsidR="00D12479" w:rsidRPr="005C4002" w:rsidRDefault="00D12479" w:rsidP="00AC6439">
            <w:pPr>
              <w:pStyle w:val="ListBullet"/>
              <w:numPr>
                <w:ilvl w:val="0"/>
                <w:numId w:val="2"/>
              </w:numPr>
              <w:spacing w:before="40"/>
              <w:ind w:left="357" w:hanging="357"/>
              <w:contextualSpacing w:val="0"/>
              <w:rPr>
                <w:rFonts w:ascii="Tahoma" w:hAnsi="Tahoma" w:cs="Tahoma"/>
              </w:rPr>
            </w:pPr>
            <w:r>
              <w:rPr>
                <w:rFonts w:ascii="Tahoma" w:hAnsi="Tahoma" w:cs="Tahoma"/>
              </w:rPr>
              <w:t>It would be good to have the costs and the operation of daily BPP ring-fenced so that it is transparent and easily transferred to a service provider.</w:t>
            </w:r>
          </w:p>
        </w:tc>
      </w:tr>
      <w:tr w:rsidR="00DE27B7" w:rsidRPr="0084774A" w14:paraId="5DBCD0D3" w14:textId="667AE4D0" w:rsidTr="00045AC6">
        <w:trPr>
          <w:trHeight w:val="496"/>
        </w:trPr>
        <w:tc>
          <w:tcPr>
            <w:tcW w:w="884" w:type="dxa"/>
            <w:shd w:val="pct15" w:color="auto" w:fill="auto"/>
            <w:tcMar>
              <w:top w:w="85" w:type="dxa"/>
              <w:bottom w:w="85" w:type="dxa"/>
            </w:tcMar>
          </w:tcPr>
          <w:p w14:paraId="66522BF2" w14:textId="453EB66D" w:rsidR="00DE27B7" w:rsidRPr="00DF3FEA" w:rsidRDefault="00DE27B7" w:rsidP="00115C41">
            <w:pPr>
              <w:pStyle w:val="BodyText"/>
              <w:keepNext/>
              <w:spacing w:after="120"/>
              <w:rPr>
                <w:rFonts w:ascii="Tahoma" w:hAnsi="Tahoma" w:cs="Tahoma"/>
                <w:b/>
              </w:rPr>
            </w:pPr>
            <w:r w:rsidRPr="00DF3FEA">
              <w:rPr>
                <w:rFonts w:ascii="Tahoma" w:hAnsi="Tahoma" w:cs="Tahoma"/>
                <w:b/>
              </w:rPr>
              <w:lastRenderedPageBreak/>
              <w:t>2</w:t>
            </w:r>
          </w:p>
        </w:tc>
        <w:tc>
          <w:tcPr>
            <w:tcW w:w="9005" w:type="dxa"/>
            <w:gridSpan w:val="2"/>
            <w:shd w:val="pct15" w:color="auto" w:fill="auto"/>
            <w:tcMar>
              <w:top w:w="85" w:type="dxa"/>
              <w:bottom w:w="85" w:type="dxa"/>
            </w:tcMar>
          </w:tcPr>
          <w:p w14:paraId="796CCB36" w14:textId="16BE06BD" w:rsidR="00DE27B7" w:rsidRPr="00DB28F8" w:rsidRDefault="007C2029" w:rsidP="00DB28F8">
            <w:pPr>
              <w:pStyle w:val="ListBullet"/>
              <w:numPr>
                <w:ilvl w:val="0"/>
                <w:numId w:val="2"/>
              </w:numPr>
              <w:spacing w:before="40"/>
              <w:ind w:left="357" w:hanging="357"/>
              <w:contextualSpacing w:val="0"/>
              <w:rPr>
                <w:rFonts w:ascii="Tahoma" w:hAnsi="Tahoma" w:cs="Tahoma"/>
              </w:rPr>
            </w:pPr>
            <w:r w:rsidRPr="00DB28F8">
              <w:rPr>
                <w:rFonts w:ascii="Tahoma" w:hAnsi="Tahoma" w:cs="Tahoma"/>
              </w:rPr>
              <w:t>Monitoring MBB</w:t>
            </w:r>
            <w:r w:rsidR="009E4D84" w:rsidRPr="00DB28F8">
              <w:rPr>
                <w:rFonts w:ascii="Tahoma" w:hAnsi="Tahoma" w:cs="Tahoma"/>
              </w:rPr>
              <w:t xml:space="preserve"> </w:t>
            </w:r>
          </w:p>
        </w:tc>
      </w:tr>
      <w:tr w:rsidR="00DE27B7" w:rsidRPr="00DF3FEA" w14:paraId="4ACC5A4B" w14:textId="53498C51" w:rsidTr="00045AC6">
        <w:trPr>
          <w:trHeight w:val="496"/>
        </w:trPr>
        <w:tc>
          <w:tcPr>
            <w:tcW w:w="884" w:type="dxa"/>
            <w:shd w:val="clear" w:color="auto" w:fill="auto"/>
            <w:tcMar>
              <w:top w:w="85" w:type="dxa"/>
              <w:bottom w:w="85" w:type="dxa"/>
            </w:tcMar>
          </w:tcPr>
          <w:p w14:paraId="2FA41262" w14:textId="77777777" w:rsidR="00DE27B7" w:rsidRPr="00DF3FEA" w:rsidRDefault="00DE27B7" w:rsidP="00E97535">
            <w:pPr>
              <w:pStyle w:val="BodyText"/>
              <w:rPr>
                <w:rFonts w:ascii="Tahoma" w:hAnsi="Tahoma" w:cs="Tahoma"/>
                <w:b/>
              </w:rPr>
            </w:pPr>
          </w:p>
        </w:tc>
        <w:tc>
          <w:tcPr>
            <w:tcW w:w="9005" w:type="dxa"/>
            <w:gridSpan w:val="2"/>
            <w:shd w:val="clear" w:color="auto" w:fill="auto"/>
            <w:tcMar>
              <w:top w:w="85" w:type="dxa"/>
              <w:bottom w:w="85" w:type="dxa"/>
            </w:tcMar>
          </w:tcPr>
          <w:p w14:paraId="46D3D3DE" w14:textId="77777777" w:rsidR="00F45745" w:rsidRDefault="007C2029" w:rsidP="007C2029">
            <w:pPr>
              <w:pStyle w:val="ListBullet"/>
              <w:numPr>
                <w:ilvl w:val="0"/>
                <w:numId w:val="2"/>
              </w:numPr>
              <w:spacing w:before="40"/>
              <w:ind w:left="357" w:hanging="357"/>
              <w:contextualSpacing w:val="0"/>
              <w:rPr>
                <w:rFonts w:ascii="Tahoma" w:hAnsi="Tahoma" w:cs="Tahoma"/>
              </w:rPr>
            </w:pPr>
            <w:r w:rsidRPr="007C2029">
              <w:rPr>
                <w:rFonts w:ascii="Tahoma" w:hAnsi="Tahoma" w:cs="Tahoma"/>
              </w:rPr>
              <w:t>Ian Wilson joined the meeting to present an outline of a paper in development on monitoring MBB outcomes</w:t>
            </w:r>
          </w:p>
          <w:p w14:paraId="704A11EF" w14:textId="3A10A8B2" w:rsidR="00537930" w:rsidRPr="00DB28F8" w:rsidRDefault="00537930" w:rsidP="007C2029">
            <w:pPr>
              <w:pStyle w:val="ListBullet"/>
              <w:numPr>
                <w:ilvl w:val="0"/>
                <w:numId w:val="2"/>
              </w:numPr>
              <w:spacing w:before="40"/>
              <w:ind w:left="357" w:hanging="357"/>
              <w:contextualSpacing w:val="0"/>
              <w:rPr>
                <w:rFonts w:ascii="Tahoma" w:hAnsi="Tahoma" w:cs="Tahoma"/>
              </w:rPr>
            </w:pPr>
            <w:r>
              <w:rPr>
                <w:rFonts w:ascii="Tahoma" w:hAnsi="Tahoma" w:cs="Tahoma"/>
              </w:rPr>
              <w:t>The paper should be released within the next two weeks.  GIC intends to invoke its information gathering protocol to obtain access to the data it needs for the monitoring</w:t>
            </w:r>
            <w:r w:rsidR="00445527">
              <w:rPr>
                <w:rFonts w:ascii="Tahoma" w:hAnsi="Tahoma" w:cs="Tahoma"/>
              </w:rPr>
              <w:t>. GIC expects that all parties would support provision of information given the widespread views in submissions that MBB be monitored</w:t>
            </w:r>
            <w:r>
              <w:rPr>
                <w:rFonts w:ascii="Tahoma" w:hAnsi="Tahoma" w:cs="Tahoma"/>
              </w:rPr>
              <w:t xml:space="preserve"> </w:t>
            </w:r>
          </w:p>
          <w:p w14:paraId="21FE87A9" w14:textId="18BCA4B4" w:rsidR="007C2029" w:rsidRDefault="00EB43FE" w:rsidP="007C2029">
            <w:pPr>
              <w:pStyle w:val="ListBullet"/>
              <w:numPr>
                <w:ilvl w:val="0"/>
                <w:numId w:val="2"/>
              </w:numPr>
              <w:spacing w:before="40"/>
              <w:ind w:left="357" w:hanging="357"/>
              <w:contextualSpacing w:val="0"/>
              <w:rPr>
                <w:rFonts w:ascii="Tahoma" w:hAnsi="Tahoma" w:cs="Tahoma"/>
              </w:rPr>
            </w:pPr>
            <w:r>
              <w:rPr>
                <w:rFonts w:ascii="Tahoma" w:hAnsi="Tahoma" w:cs="Tahoma"/>
              </w:rPr>
              <w:t>Attendees</w:t>
            </w:r>
            <w:r w:rsidR="00537930">
              <w:rPr>
                <w:rFonts w:ascii="Tahoma" w:hAnsi="Tahoma" w:cs="Tahoma"/>
              </w:rPr>
              <w:t xml:space="preserve"> noted that the post-implementation review of MBB should be done in conjunction with the review of D+1:  the two aspects could inform each other and possibly provide useful insights</w:t>
            </w:r>
          </w:p>
          <w:p w14:paraId="30785360" w14:textId="647E38FC" w:rsidR="00537930" w:rsidRDefault="00537930" w:rsidP="007C2029">
            <w:pPr>
              <w:pStyle w:val="ListBullet"/>
              <w:numPr>
                <w:ilvl w:val="0"/>
                <w:numId w:val="2"/>
              </w:numPr>
              <w:spacing w:before="40"/>
              <w:ind w:left="357" w:hanging="357"/>
              <w:contextualSpacing w:val="0"/>
              <w:rPr>
                <w:rFonts w:ascii="Tahoma" w:hAnsi="Tahoma" w:cs="Tahoma"/>
              </w:rPr>
            </w:pPr>
            <w:r>
              <w:rPr>
                <w:rFonts w:ascii="Tahoma" w:hAnsi="Tahoma" w:cs="Tahoma"/>
              </w:rPr>
              <w:t>Some questioned the rationale of reviewing MBB, if it is likely that MBB won’t be reversed?  Ian W noted that a review could highlight implementation problems that could be resolved by adjusting the MBB settings, such a</w:t>
            </w:r>
            <w:r w:rsidR="008B6BE9">
              <w:rPr>
                <w:rFonts w:ascii="Tahoma" w:hAnsi="Tahoma" w:cs="Tahoma"/>
              </w:rPr>
              <w:t>s</w:t>
            </w:r>
            <w:r>
              <w:rPr>
                <w:rFonts w:ascii="Tahoma" w:hAnsi="Tahoma" w:cs="Tahoma"/>
              </w:rPr>
              <w:t xml:space="preserve"> welded point tolerances; it could also identify remaining issues that </w:t>
            </w:r>
            <w:r w:rsidR="008B6BE9">
              <w:rPr>
                <w:rFonts w:ascii="Tahoma" w:hAnsi="Tahoma" w:cs="Tahoma"/>
              </w:rPr>
              <w:t>might require</w:t>
            </w:r>
            <w:r>
              <w:rPr>
                <w:rFonts w:ascii="Tahoma" w:hAnsi="Tahoma" w:cs="Tahoma"/>
              </w:rPr>
              <w:t xml:space="preserve"> further policy work</w:t>
            </w:r>
          </w:p>
          <w:p w14:paraId="564912F4" w14:textId="32B836EC" w:rsidR="00537930" w:rsidRDefault="00EB43FE" w:rsidP="007C2029">
            <w:pPr>
              <w:pStyle w:val="ListBullet"/>
              <w:numPr>
                <w:ilvl w:val="0"/>
                <w:numId w:val="2"/>
              </w:numPr>
              <w:spacing w:before="40"/>
              <w:ind w:left="357" w:hanging="357"/>
              <w:contextualSpacing w:val="0"/>
              <w:rPr>
                <w:rFonts w:ascii="Tahoma" w:hAnsi="Tahoma" w:cs="Tahoma"/>
              </w:rPr>
            </w:pPr>
            <w:r>
              <w:rPr>
                <w:rFonts w:ascii="Tahoma" w:hAnsi="Tahoma" w:cs="Tahoma"/>
              </w:rPr>
              <w:t xml:space="preserve">Attendees suggested that the analysis should include MDL’s position:  post-MBB implementation, MDL will be the only party that can </w:t>
            </w:r>
            <w:r w:rsidR="008B6BE9">
              <w:rPr>
                <w:rFonts w:ascii="Tahoma" w:hAnsi="Tahoma" w:cs="Tahoma"/>
              </w:rPr>
              <w:t>accumulate</w:t>
            </w:r>
            <w:r>
              <w:rPr>
                <w:rFonts w:ascii="Tahoma" w:hAnsi="Tahoma" w:cs="Tahoma"/>
              </w:rPr>
              <w:t xml:space="preserve"> ROI</w:t>
            </w:r>
            <w:r w:rsidR="008B6BE9">
              <w:rPr>
                <w:rFonts w:ascii="Tahoma" w:hAnsi="Tahoma" w:cs="Tahoma"/>
              </w:rPr>
              <w:t xml:space="preserve"> over time</w:t>
            </w:r>
          </w:p>
          <w:p w14:paraId="70740083" w14:textId="6CA056A4" w:rsidR="00481E59" w:rsidRDefault="00481E59" w:rsidP="007C2029">
            <w:pPr>
              <w:pStyle w:val="ListBullet"/>
              <w:numPr>
                <w:ilvl w:val="0"/>
                <w:numId w:val="2"/>
              </w:numPr>
              <w:spacing w:before="40"/>
              <w:ind w:left="357" w:hanging="357"/>
              <w:contextualSpacing w:val="0"/>
              <w:rPr>
                <w:rFonts w:ascii="Tahoma" w:hAnsi="Tahoma" w:cs="Tahoma"/>
              </w:rPr>
            </w:pPr>
            <w:r>
              <w:rPr>
                <w:rFonts w:ascii="Tahoma" w:hAnsi="Tahoma" w:cs="Tahoma"/>
              </w:rPr>
              <w:t xml:space="preserve">One question is </w:t>
            </w:r>
            <w:r w:rsidR="008B6BE9">
              <w:rPr>
                <w:rFonts w:ascii="Tahoma" w:hAnsi="Tahoma" w:cs="Tahoma"/>
              </w:rPr>
              <w:t xml:space="preserve">the extent to which </w:t>
            </w:r>
            <w:r>
              <w:rPr>
                <w:rFonts w:ascii="Tahoma" w:hAnsi="Tahoma" w:cs="Tahoma"/>
              </w:rPr>
              <w:t>Vector shippers are able to primary balance under MBB.  To answer this question, GIC will request information for the period prior to 1 October</w:t>
            </w:r>
            <w:r w:rsidR="008B6BE9">
              <w:rPr>
                <w:rFonts w:ascii="Tahoma" w:hAnsi="Tahoma" w:cs="Tahoma"/>
              </w:rPr>
              <w:t xml:space="preserve"> 2015</w:t>
            </w:r>
            <w:r>
              <w:rPr>
                <w:rFonts w:ascii="Tahoma" w:hAnsi="Tahoma" w:cs="Tahoma"/>
              </w:rPr>
              <w:t xml:space="preserve"> as well to </w:t>
            </w:r>
            <w:r w:rsidR="008B6BE9">
              <w:rPr>
                <w:rFonts w:ascii="Tahoma" w:hAnsi="Tahoma" w:cs="Tahoma"/>
              </w:rPr>
              <w:t>provide</w:t>
            </w:r>
            <w:r>
              <w:rPr>
                <w:rFonts w:ascii="Tahoma" w:hAnsi="Tahoma" w:cs="Tahoma"/>
              </w:rPr>
              <w:t xml:space="preserve"> a baseline.</w:t>
            </w:r>
          </w:p>
          <w:p w14:paraId="223AF4C1" w14:textId="05C26426" w:rsidR="00DB28F8" w:rsidRPr="00F41A4E" w:rsidRDefault="00EB43FE" w:rsidP="00F41A4E">
            <w:pPr>
              <w:pStyle w:val="ListBullet"/>
              <w:numPr>
                <w:ilvl w:val="0"/>
                <w:numId w:val="2"/>
              </w:numPr>
              <w:spacing w:before="40"/>
              <w:ind w:left="357" w:hanging="357"/>
              <w:contextualSpacing w:val="0"/>
              <w:rPr>
                <w:rFonts w:ascii="Tahoma" w:hAnsi="Tahoma" w:cs="Tahoma"/>
              </w:rPr>
            </w:pPr>
            <w:r>
              <w:rPr>
                <w:rFonts w:ascii="Tahoma" w:hAnsi="Tahoma" w:cs="Tahoma"/>
              </w:rPr>
              <w:t xml:space="preserve">One retailer noted that MDL has not provided information on MBB implementation in a timely way:  the MPOC that will take effect on 1 October </w:t>
            </w:r>
            <w:r w:rsidR="00481E59">
              <w:rPr>
                <w:rFonts w:ascii="Tahoma" w:hAnsi="Tahoma" w:cs="Tahoma"/>
              </w:rPr>
              <w:t>was only just published, and there is no published information on WP tolerances nor on when the BGIX will go live.  MDL has not provided what market participants need to know about MBB.</w:t>
            </w:r>
          </w:p>
        </w:tc>
      </w:tr>
      <w:tr w:rsidR="00DE27B7" w:rsidRPr="0084774A" w14:paraId="11C072FE" w14:textId="4F80241B" w:rsidTr="00045AC6">
        <w:trPr>
          <w:trHeight w:val="496"/>
        </w:trPr>
        <w:tc>
          <w:tcPr>
            <w:tcW w:w="884" w:type="dxa"/>
            <w:shd w:val="clear" w:color="auto" w:fill="D9D9D9" w:themeFill="background1" w:themeFillShade="D9"/>
            <w:tcMar>
              <w:top w:w="85" w:type="dxa"/>
              <w:bottom w:w="85" w:type="dxa"/>
            </w:tcMar>
          </w:tcPr>
          <w:p w14:paraId="1CB0C258" w14:textId="48A1C68A" w:rsidR="00DE27B7" w:rsidRPr="00DF3FEA" w:rsidRDefault="00DE27B7" w:rsidP="0084774A">
            <w:pPr>
              <w:pStyle w:val="BodyText"/>
              <w:spacing w:after="120"/>
              <w:rPr>
                <w:rFonts w:ascii="Tahoma" w:hAnsi="Tahoma" w:cs="Tahoma"/>
                <w:b/>
              </w:rPr>
            </w:pPr>
            <w:r w:rsidRPr="00DF3FEA">
              <w:rPr>
                <w:rFonts w:ascii="Tahoma" w:hAnsi="Tahoma" w:cs="Tahoma"/>
                <w:b/>
              </w:rPr>
              <w:t>3</w:t>
            </w:r>
          </w:p>
        </w:tc>
        <w:tc>
          <w:tcPr>
            <w:tcW w:w="9005" w:type="dxa"/>
            <w:gridSpan w:val="2"/>
            <w:shd w:val="clear" w:color="auto" w:fill="D9D9D9" w:themeFill="background1" w:themeFillShade="D9"/>
            <w:tcMar>
              <w:top w:w="85" w:type="dxa"/>
              <w:bottom w:w="85" w:type="dxa"/>
            </w:tcMar>
          </w:tcPr>
          <w:p w14:paraId="441C6E4E" w14:textId="28749329" w:rsidR="00DE27B7" w:rsidRPr="00DF3FEA" w:rsidRDefault="00147AD3" w:rsidP="0084774A">
            <w:pPr>
              <w:pStyle w:val="BodyText"/>
              <w:spacing w:after="120"/>
              <w:rPr>
                <w:rFonts w:ascii="Tahoma" w:hAnsi="Tahoma" w:cs="Tahoma"/>
                <w:b/>
              </w:rPr>
            </w:pPr>
            <w:r>
              <w:rPr>
                <w:rFonts w:ascii="Tahoma" w:hAnsi="Tahoma" w:cs="Tahoma"/>
                <w:b/>
              </w:rPr>
              <w:t>Critical contingencies under D+1</w:t>
            </w:r>
          </w:p>
        </w:tc>
      </w:tr>
      <w:tr w:rsidR="00DE27B7" w:rsidRPr="00DF3FEA" w14:paraId="17A79911" w14:textId="545D4824" w:rsidTr="00045AC6">
        <w:trPr>
          <w:trHeight w:val="496"/>
        </w:trPr>
        <w:tc>
          <w:tcPr>
            <w:tcW w:w="884" w:type="dxa"/>
            <w:shd w:val="clear" w:color="auto" w:fill="auto"/>
            <w:tcMar>
              <w:top w:w="85" w:type="dxa"/>
              <w:bottom w:w="85" w:type="dxa"/>
            </w:tcMar>
          </w:tcPr>
          <w:p w14:paraId="1F0826C8" w14:textId="77777777" w:rsidR="00DE27B7" w:rsidRPr="00DF3FEA" w:rsidRDefault="00DE27B7" w:rsidP="00E97535">
            <w:pPr>
              <w:pStyle w:val="BodyText"/>
              <w:rPr>
                <w:rFonts w:ascii="Tahoma" w:hAnsi="Tahoma" w:cs="Tahoma"/>
                <w:b/>
              </w:rPr>
            </w:pPr>
          </w:p>
        </w:tc>
        <w:tc>
          <w:tcPr>
            <w:tcW w:w="9005" w:type="dxa"/>
            <w:gridSpan w:val="2"/>
            <w:shd w:val="clear" w:color="auto" w:fill="auto"/>
            <w:tcMar>
              <w:top w:w="85" w:type="dxa"/>
              <w:bottom w:w="85" w:type="dxa"/>
            </w:tcMar>
          </w:tcPr>
          <w:p w14:paraId="7F751DD2" w14:textId="5E28C8CA" w:rsidR="00F06B69" w:rsidRDefault="00147AD3" w:rsidP="00F41A4E">
            <w:pPr>
              <w:pStyle w:val="ListBullet"/>
              <w:numPr>
                <w:ilvl w:val="0"/>
                <w:numId w:val="2"/>
              </w:numPr>
              <w:spacing w:before="40"/>
              <w:ind w:left="357" w:hanging="357"/>
              <w:contextualSpacing w:val="0"/>
              <w:rPr>
                <w:rFonts w:ascii="Tahoma" w:hAnsi="Tahoma" w:cs="Tahoma"/>
              </w:rPr>
            </w:pPr>
            <w:r>
              <w:rPr>
                <w:rFonts w:ascii="Tahoma" w:hAnsi="Tahoma" w:cs="Tahoma"/>
              </w:rPr>
              <w:t xml:space="preserve">If a critical contingency event is non-regional, how could the CC </w:t>
            </w:r>
            <w:r w:rsidR="008B6BE9">
              <w:rPr>
                <w:rFonts w:ascii="Tahoma" w:hAnsi="Tahoma" w:cs="Tahoma"/>
              </w:rPr>
              <w:t xml:space="preserve">imbalance </w:t>
            </w:r>
            <w:r>
              <w:rPr>
                <w:rFonts w:ascii="Tahoma" w:hAnsi="Tahoma" w:cs="Tahoma"/>
              </w:rPr>
              <w:t>procedures affect daily BPP positions?</w:t>
            </w:r>
          </w:p>
          <w:p w14:paraId="54EDFF60" w14:textId="77777777" w:rsidR="00147AD3" w:rsidRDefault="00F41A4E" w:rsidP="00F41A4E">
            <w:pPr>
              <w:pStyle w:val="ListBullet"/>
              <w:numPr>
                <w:ilvl w:val="0"/>
                <w:numId w:val="2"/>
              </w:numPr>
              <w:spacing w:before="40"/>
              <w:ind w:left="357" w:hanging="357"/>
              <w:contextualSpacing w:val="0"/>
              <w:rPr>
                <w:rFonts w:ascii="Tahoma" w:hAnsi="Tahoma" w:cs="Tahoma"/>
              </w:rPr>
            </w:pPr>
            <w:r>
              <w:rPr>
                <w:rFonts w:ascii="Tahoma" w:hAnsi="Tahoma" w:cs="Tahoma"/>
              </w:rPr>
              <w:t>Under the CCM Regulations, TSOs have 35 days from the end of a critical contingency to determine critical contingency imbalances</w:t>
            </w:r>
          </w:p>
          <w:p w14:paraId="5783B418" w14:textId="245525A7" w:rsidR="00F41A4E" w:rsidRDefault="00F41A4E" w:rsidP="00F41A4E">
            <w:pPr>
              <w:pStyle w:val="ListBullet"/>
              <w:numPr>
                <w:ilvl w:val="0"/>
                <w:numId w:val="2"/>
              </w:numPr>
              <w:spacing w:before="40"/>
              <w:ind w:left="357" w:hanging="357"/>
              <w:contextualSpacing w:val="0"/>
              <w:rPr>
                <w:rFonts w:ascii="Tahoma" w:hAnsi="Tahoma" w:cs="Tahoma"/>
              </w:rPr>
            </w:pPr>
            <w:r>
              <w:rPr>
                <w:rFonts w:ascii="Tahoma" w:hAnsi="Tahoma" w:cs="Tahoma"/>
              </w:rPr>
              <w:t>If a non-regional critical contingency occurred, then, for the purposes of BPP, the days of critical contingency could be ignored and the closing position of the day before the contingency would be the opening position on the day after the contingency ended.  But then what would happen to the residual gas that arises from contingency imbalance calculations?  Could that residual be separately washed up?</w:t>
            </w:r>
          </w:p>
          <w:p w14:paraId="7F7E543A" w14:textId="77777777" w:rsidR="00F06B69" w:rsidRDefault="00F41A4E" w:rsidP="00F41A4E">
            <w:pPr>
              <w:pStyle w:val="ListBullet"/>
              <w:numPr>
                <w:ilvl w:val="0"/>
                <w:numId w:val="0"/>
              </w:numPr>
              <w:spacing w:before="40"/>
              <w:contextualSpacing w:val="0"/>
              <w:rPr>
                <w:rFonts w:ascii="Tahoma" w:hAnsi="Tahoma" w:cs="Tahoma"/>
              </w:rPr>
            </w:pPr>
            <w:r w:rsidRPr="00F41A4E">
              <w:rPr>
                <w:rFonts w:ascii="Tahoma" w:hAnsi="Tahoma" w:cs="Tahoma"/>
                <w:b/>
                <w:i/>
                <w:u w:val="single"/>
              </w:rPr>
              <w:t>Action:</w:t>
            </w:r>
            <w:r>
              <w:rPr>
                <w:rFonts w:ascii="Tahoma" w:hAnsi="Tahoma" w:cs="Tahoma"/>
              </w:rPr>
              <w:t xml:space="preserve">  GIC to give thought to this issue</w:t>
            </w:r>
          </w:p>
          <w:p w14:paraId="2C723A4B" w14:textId="35332796" w:rsidR="00C77DAC" w:rsidRPr="00C77DAC" w:rsidRDefault="00C77DAC" w:rsidP="00F41A4E">
            <w:pPr>
              <w:pStyle w:val="ListBullet"/>
              <w:numPr>
                <w:ilvl w:val="0"/>
                <w:numId w:val="0"/>
              </w:numPr>
              <w:spacing w:before="40"/>
              <w:contextualSpacing w:val="0"/>
              <w:rPr>
                <w:rFonts w:ascii="Tahoma" w:hAnsi="Tahoma" w:cs="Tahoma"/>
                <w:i/>
              </w:rPr>
            </w:pPr>
            <w:r w:rsidRPr="00C77DAC">
              <w:rPr>
                <w:rFonts w:ascii="Tahoma" w:hAnsi="Tahoma" w:cs="Tahoma"/>
                <w:i/>
              </w:rPr>
              <w:t>[GIC note:  we have now looked into this issue, and it appears to be clearly documented in the Vector CCMP:</w:t>
            </w:r>
          </w:p>
          <w:p w14:paraId="525EBE9F" w14:textId="77777777" w:rsidR="00C77DAC" w:rsidRPr="00C77DAC" w:rsidRDefault="00C77DAC" w:rsidP="00C77DAC">
            <w:pPr>
              <w:ind w:left="720"/>
              <w:rPr>
                <w:rFonts w:asciiTheme="minorHAnsi" w:hAnsiTheme="minorHAnsi"/>
                <w:i/>
                <w:lang w:eastAsia="en-US"/>
              </w:rPr>
            </w:pPr>
            <w:r w:rsidRPr="00C77DAC">
              <w:rPr>
                <w:rFonts w:asciiTheme="minorHAnsi" w:hAnsiTheme="minorHAnsi"/>
                <w:i/>
                <w:iCs/>
              </w:rPr>
              <w:t>Contingency</w:t>
            </w:r>
            <w:bookmarkStart w:id="0" w:name="_GoBack"/>
            <w:bookmarkEnd w:id="0"/>
            <w:r w:rsidRPr="00C77DAC">
              <w:rPr>
                <w:rFonts w:asciiTheme="minorHAnsi" w:hAnsiTheme="minorHAnsi"/>
                <w:i/>
                <w:iCs/>
              </w:rPr>
              <w:t xml:space="preserve"> Imbalances will be removed from shipper Mismatch on all CC Days, so that opening Running Mismatch on CCP +1 is identical to the closing Running Mismatch on CCP – 1.</w:t>
            </w:r>
            <w:r w:rsidRPr="00C77DAC">
              <w:rPr>
                <w:rFonts w:asciiTheme="minorHAnsi" w:hAnsiTheme="minorHAnsi"/>
                <w:i/>
              </w:rPr>
              <w:t xml:space="preserve">  [CCP-1 is day before CC event and CC+1 is day after termination of CC event]</w:t>
            </w:r>
          </w:p>
          <w:p w14:paraId="3D37904C" w14:textId="04CE6FB6" w:rsidR="00C77DAC" w:rsidRPr="00C77DAC" w:rsidRDefault="00C77DAC" w:rsidP="00C77DAC">
            <w:pPr>
              <w:spacing w:before="120"/>
              <w:rPr>
                <w:rFonts w:ascii="Tahoma" w:hAnsi="Tahoma" w:cs="Tahoma"/>
              </w:rPr>
            </w:pPr>
            <w:r w:rsidRPr="00C77DAC">
              <w:rPr>
                <w:rFonts w:ascii="Tahoma" w:hAnsi="Tahoma" w:cs="Tahoma"/>
                <w:i/>
              </w:rPr>
              <w:t>This means that the</w:t>
            </w:r>
            <w:r w:rsidRPr="00C77DAC">
              <w:rPr>
                <w:rFonts w:ascii="Tahoma" w:hAnsi="Tahoma" w:cs="Tahoma"/>
                <w:i/>
              </w:rPr>
              <w:t xml:space="preserve"> days of the CC event </w:t>
            </w:r>
            <w:r w:rsidRPr="00C77DAC">
              <w:rPr>
                <w:rFonts w:ascii="Tahoma" w:hAnsi="Tahoma" w:cs="Tahoma"/>
                <w:i/>
              </w:rPr>
              <w:t>can just be carved out from the usual BPP calculation process.</w:t>
            </w:r>
            <w:r>
              <w:rPr>
                <w:rFonts w:ascii="Tahoma" w:hAnsi="Tahoma" w:cs="Tahoma"/>
                <w:i/>
              </w:rPr>
              <w:t>]</w:t>
            </w:r>
          </w:p>
        </w:tc>
      </w:tr>
      <w:tr w:rsidR="00DE27B7" w:rsidRPr="0084774A" w14:paraId="0641C8B1" w14:textId="11C37DE4" w:rsidTr="00045AC6">
        <w:trPr>
          <w:trHeight w:val="496"/>
        </w:trPr>
        <w:tc>
          <w:tcPr>
            <w:tcW w:w="884" w:type="dxa"/>
            <w:shd w:val="clear" w:color="auto" w:fill="D9D9D9" w:themeFill="background1" w:themeFillShade="D9"/>
            <w:tcMar>
              <w:top w:w="85" w:type="dxa"/>
              <w:bottom w:w="85" w:type="dxa"/>
            </w:tcMar>
          </w:tcPr>
          <w:p w14:paraId="6BAC8B18" w14:textId="583EC755" w:rsidR="00DE27B7" w:rsidRPr="00DF3FEA" w:rsidRDefault="00594E96" w:rsidP="0084774A">
            <w:pPr>
              <w:pStyle w:val="BodyText"/>
              <w:spacing w:after="120"/>
              <w:rPr>
                <w:rFonts w:ascii="Tahoma" w:hAnsi="Tahoma" w:cs="Tahoma"/>
                <w:b/>
              </w:rPr>
            </w:pPr>
            <w:r>
              <w:rPr>
                <w:rFonts w:ascii="Tahoma" w:hAnsi="Tahoma" w:cs="Tahoma"/>
                <w:b/>
              </w:rPr>
              <w:t>4</w:t>
            </w:r>
          </w:p>
        </w:tc>
        <w:tc>
          <w:tcPr>
            <w:tcW w:w="9005" w:type="dxa"/>
            <w:gridSpan w:val="2"/>
            <w:shd w:val="clear" w:color="auto" w:fill="D9D9D9" w:themeFill="background1" w:themeFillShade="D9"/>
            <w:tcMar>
              <w:top w:w="85" w:type="dxa"/>
              <w:bottom w:w="85" w:type="dxa"/>
            </w:tcMar>
          </w:tcPr>
          <w:p w14:paraId="55610676" w14:textId="700E2555" w:rsidR="00DE27B7" w:rsidRPr="00DF3FEA" w:rsidRDefault="0019259E" w:rsidP="00431766">
            <w:pPr>
              <w:pStyle w:val="BodyText"/>
              <w:keepNext/>
              <w:spacing w:after="120"/>
              <w:rPr>
                <w:rFonts w:ascii="Tahoma" w:hAnsi="Tahoma" w:cs="Tahoma"/>
                <w:b/>
              </w:rPr>
            </w:pPr>
            <w:r>
              <w:rPr>
                <w:rFonts w:ascii="Tahoma" w:hAnsi="Tahoma" w:cs="Tahoma"/>
                <w:b/>
              </w:rPr>
              <w:t>Vector update on BPP preparations</w:t>
            </w:r>
          </w:p>
        </w:tc>
      </w:tr>
      <w:tr w:rsidR="000E340C" w:rsidRPr="00DF3FEA" w14:paraId="17B2C065" w14:textId="77777777" w:rsidTr="00045AC6">
        <w:trPr>
          <w:trHeight w:val="496"/>
        </w:trPr>
        <w:tc>
          <w:tcPr>
            <w:tcW w:w="884" w:type="dxa"/>
            <w:shd w:val="clear" w:color="auto" w:fill="auto"/>
            <w:tcMar>
              <w:top w:w="85" w:type="dxa"/>
              <w:bottom w:w="85" w:type="dxa"/>
            </w:tcMar>
          </w:tcPr>
          <w:p w14:paraId="11CE1E7A" w14:textId="77777777" w:rsidR="000E340C" w:rsidRPr="00DF3FEA" w:rsidRDefault="000E340C" w:rsidP="00D926BF">
            <w:pPr>
              <w:pStyle w:val="BodyText"/>
              <w:rPr>
                <w:rFonts w:ascii="Tahoma" w:hAnsi="Tahoma" w:cs="Tahoma"/>
                <w:b/>
              </w:rPr>
            </w:pPr>
          </w:p>
        </w:tc>
        <w:tc>
          <w:tcPr>
            <w:tcW w:w="9005" w:type="dxa"/>
            <w:gridSpan w:val="2"/>
            <w:shd w:val="clear" w:color="auto" w:fill="auto"/>
            <w:tcMar>
              <w:top w:w="85" w:type="dxa"/>
              <w:bottom w:w="85" w:type="dxa"/>
            </w:tcMar>
          </w:tcPr>
          <w:p w14:paraId="626E129C" w14:textId="77777777" w:rsidR="00071D4E" w:rsidRDefault="0019259E" w:rsidP="00EB5ABB">
            <w:pPr>
              <w:pStyle w:val="ListBullet"/>
              <w:numPr>
                <w:ilvl w:val="0"/>
                <w:numId w:val="2"/>
              </w:numPr>
              <w:spacing w:before="40"/>
              <w:ind w:left="357" w:hanging="357"/>
              <w:contextualSpacing w:val="0"/>
              <w:rPr>
                <w:rFonts w:ascii="Tahoma" w:hAnsi="Tahoma" w:cs="Tahoma"/>
              </w:rPr>
            </w:pPr>
            <w:r>
              <w:rPr>
                <w:rFonts w:ascii="Tahoma" w:hAnsi="Tahoma" w:cs="Tahoma"/>
              </w:rPr>
              <w:t>Tim Bush is coding over the next week, then will turn to testing databases</w:t>
            </w:r>
          </w:p>
          <w:p w14:paraId="5D5D9A1E" w14:textId="77777777" w:rsidR="0019259E" w:rsidRDefault="00B17143" w:rsidP="00EB5ABB">
            <w:pPr>
              <w:pStyle w:val="ListBullet"/>
              <w:numPr>
                <w:ilvl w:val="0"/>
                <w:numId w:val="2"/>
              </w:numPr>
              <w:spacing w:before="40"/>
              <w:ind w:left="357" w:hanging="357"/>
              <w:contextualSpacing w:val="0"/>
              <w:rPr>
                <w:rFonts w:ascii="Tahoma" w:hAnsi="Tahoma" w:cs="Tahoma"/>
              </w:rPr>
            </w:pPr>
            <w:r>
              <w:rPr>
                <w:rFonts w:ascii="Tahoma" w:hAnsi="Tahoma" w:cs="Tahoma"/>
              </w:rPr>
              <w:t>Targeting 1 November to be ready to go live</w:t>
            </w:r>
          </w:p>
          <w:p w14:paraId="7895BAE0" w14:textId="6A28AEEA" w:rsidR="00B17143" w:rsidRDefault="00B17143" w:rsidP="00EB5ABB">
            <w:pPr>
              <w:pStyle w:val="ListBullet"/>
              <w:numPr>
                <w:ilvl w:val="0"/>
                <w:numId w:val="2"/>
              </w:numPr>
              <w:spacing w:before="40"/>
              <w:ind w:left="357" w:hanging="357"/>
              <w:contextualSpacing w:val="0"/>
              <w:rPr>
                <w:rFonts w:ascii="Tahoma" w:hAnsi="Tahoma" w:cs="Tahoma"/>
              </w:rPr>
            </w:pPr>
            <w:r>
              <w:rPr>
                <w:rFonts w:ascii="Tahoma" w:hAnsi="Tahoma" w:cs="Tahoma"/>
              </w:rPr>
              <w:t>One shipper suggested that 15 November would be a natur</w:t>
            </w:r>
            <w:r w:rsidR="00E4437D">
              <w:rPr>
                <w:rFonts w:ascii="Tahoma" w:hAnsi="Tahoma" w:cs="Tahoma"/>
              </w:rPr>
              <w:t>al</w:t>
            </w:r>
            <w:r>
              <w:rPr>
                <w:rFonts w:ascii="Tahoma" w:hAnsi="Tahoma" w:cs="Tahoma"/>
              </w:rPr>
              <w:t xml:space="preserve"> go-live date, as it would be after the normal billing processes Vector undertakes</w:t>
            </w:r>
          </w:p>
          <w:p w14:paraId="2B73E206" w14:textId="7D60BD7D" w:rsidR="00B17143" w:rsidRDefault="00B17143" w:rsidP="00EB5ABB">
            <w:pPr>
              <w:pStyle w:val="ListBullet"/>
              <w:numPr>
                <w:ilvl w:val="0"/>
                <w:numId w:val="2"/>
              </w:numPr>
              <w:spacing w:before="40"/>
              <w:ind w:left="357" w:hanging="357"/>
              <w:contextualSpacing w:val="0"/>
              <w:rPr>
                <w:rFonts w:ascii="Tahoma" w:hAnsi="Tahoma" w:cs="Tahoma"/>
              </w:rPr>
            </w:pPr>
            <w:r>
              <w:rPr>
                <w:rFonts w:ascii="Tahoma" w:hAnsi="Tahoma" w:cs="Tahoma"/>
              </w:rPr>
              <w:t>Automated data provision (for feeding into the D+1 model) is being tested at the moment; Vector should be able to move to automated data provision by next week.  The information will come in 2 folders:  one for Vector transmission gate meter readings and one for AMS ToU meter data</w:t>
            </w:r>
          </w:p>
        </w:tc>
      </w:tr>
    </w:tbl>
    <w:p w14:paraId="50C734E3" w14:textId="77777777" w:rsidR="00DC221C" w:rsidRPr="00DF3FEA" w:rsidRDefault="003D71F2" w:rsidP="00E64F14">
      <w:pPr>
        <w:rPr>
          <w:rFonts w:ascii="Tahoma" w:hAnsi="Tahoma" w:cs="Tahoma"/>
        </w:rPr>
      </w:pPr>
    </w:p>
    <w:sectPr w:rsidR="00DC221C" w:rsidRPr="00DF3FEA" w:rsidSect="00045AC6">
      <w:pgSz w:w="11906" w:h="16838"/>
      <w:pgMar w:top="907" w:right="1077" w:bottom="90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50EC38" w14:textId="77777777" w:rsidR="003D71F2" w:rsidRDefault="003D71F2" w:rsidP="006C0023">
      <w:r>
        <w:separator/>
      </w:r>
    </w:p>
  </w:endnote>
  <w:endnote w:type="continuationSeparator" w:id="0">
    <w:p w14:paraId="216A0EF7" w14:textId="77777777" w:rsidR="003D71F2" w:rsidRDefault="003D71F2" w:rsidP="006C0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utiger LT 45 Light">
    <w:altName w:val="Corbel"/>
    <w:panose1 w:val="020B04030305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1C51" w14:textId="77777777" w:rsidR="003D71F2" w:rsidRDefault="003D71F2" w:rsidP="006C0023">
      <w:r>
        <w:separator/>
      </w:r>
    </w:p>
  </w:footnote>
  <w:footnote w:type="continuationSeparator" w:id="0">
    <w:p w14:paraId="0591B790" w14:textId="77777777" w:rsidR="003D71F2" w:rsidRDefault="003D71F2" w:rsidP="006C00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9187C6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A5D09ED"/>
    <w:multiLevelType w:val="hybridMultilevel"/>
    <w:tmpl w:val="F2DC9BF8"/>
    <w:lvl w:ilvl="0" w:tplc="0382D8B2">
      <w:start w:val="1"/>
      <w:numFmt w:val="bullet"/>
      <w:lvlText w:val=""/>
      <w:lvlJc w:val="left"/>
      <w:pPr>
        <w:ind w:left="1571" w:hanging="360"/>
      </w:pPr>
      <w:rPr>
        <w:rFonts w:ascii="Symbol" w:hAnsi="Symbol" w:hint="default"/>
        <w:color w:val="0D2244"/>
      </w:rPr>
    </w:lvl>
    <w:lvl w:ilvl="1" w:tplc="14090003" w:tentative="1">
      <w:start w:val="1"/>
      <w:numFmt w:val="bullet"/>
      <w:lvlText w:val="o"/>
      <w:lvlJc w:val="left"/>
      <w:pPr>
        <w:ind w:left="2291" w:hanging="360"/>
      </w:pPr>
      <w:rPr>
        <w:rFonts w:ascii="Courier New" w:hAnsi="Courier New" w:cs="Courier New" w:hint="default"/>
      </w:rPr>
    </w:lvl>
    <w:lvl w:ilvl="2" w:tplc="14090005" w:tentative="1">
      <w:start w:val="1"/>
      <w:numFmt w:val="bullet"/>
      <w:lvlText w:val=""/>
      <w:lvlJc w:val="left"/>
      <w:pPr>
        <w:ind w:left="3011" w:hanging="360"/>
      </w:pPr>
      <w:rPr>
        <w:rFonts w:ascii="Wingdings" w:hAnsi="Wingdings" w:hint="default"/>
      </w:rPr>
    </w:lvl>
    <w:lvl w:ilvl="3" w:tplc="14090001" w:tentative="1">
      <w:start w:val="1"/>
      <w:numFmt w:val="bullet"/>
      <w:lvlText w:val=""/>
      <w:lvlJc w:val="left"/>
      <w:pPr>
        <w:ind w:left="3731" w:hanging="360"/>
      </w:pPr>
      <w:rPr>
        <w:rFonts w:ascii="Symbol" w:hAnsi="Symbol" w:hint="default"/>
      </w:rPr>
    </w:lvl>
    <w:lvl w:ilvl="4" w:tplc="14090003" w:tentative="1">
      <w:start w:val="1"/>
      <w:numFmt w:val="bullet"/>
      <w:lvlText w:val="o"/>
      <w:lvlJc w:val="left"/>
      <w:pPr>
        <w:ind w:left="4451" w:hanging="360"/>
      </w:pPr>
      <w:rPr>
        <w:rFonts w:ascii="Courier New" w:hAnsi="Courier New" w:cs="Courier New" w:hint="default"/>
      </w:rPr>
    </w:lvl>
    <w:lvl w:ilvl="5" w:tplc="14090005" w:tentative="1">
      <w:start w:val="1"/>
      <w:numFmt w:val="bullet"/>
      <w:lvlText w:val=""/>
      <w:lvlJc w:val="left"/>
      <w:pPr>
        <w:ind w:left="5171" w:hanging="360"/>
      </w:pPr>
      <w:rPr>
        <w:rFonts w:ascii="Wingdings" w:hAnsi="Wingdings" w:hint="default"/>
      </w:rPr>
    </w:lvl>
    <w:lvl w:ilvl="6" w:tplc="14090001" w:tentative="1">
      <w:start w:val="1"/>
      <w:numFmt w:val="bullet"/>
      <w:lvlText w:val=""/>
      <w:lvlJc w:val="left"/>
      <w:pPr>
        <w:ind w:left="5891" w:hanging="360"/>
      </w:pPr>
      <w:rPr>
        <w:rFonts w:ascii="Symbol" w:hAnsi="Symbol" w:hint="default"/>
      </w:rPr>
    </w:lvl>
    <w:lvl w:ilvl="7" w:tplc="14090003" w:tentative="1">
      <w:start w:val="1"/>
      <w:numFmt w:val="bullet"/>
      <w:lvlText w:val="o"/>
      <w:lvlJc w:val="left"/>
      <w:pPr>
        <w:ind w:left="6611" w:hanging="360"/>
      </w:pPr>
      <w:rPr>
        <w:rFonts w:ascii="Courier New" w:hAnsi="Courier New" w:cs="Courier New" w:hint="default"/>
      </w:rPr>
    </w:lvl>
    <w:lvl w:ilvl="8" w:tplc="14090005" w:tentative="1">
      <w:start w:val="1"/>
      <w:numFmt w:val="bullet"/>
      <w:lvlText w:val=""/>
      <w:lvlJc w:val="left"/>
      <w:pPr>
        <w:ind w:left="7331" w:hanging="360"/>
      </w:pPr>
      <w:rPr>
        <w:rFonts w:ascii="Wingdings" w:hAnsi="Wingdings" w:hint="default"/>
      </w:rPr>
    </w:lvl>
  </w:abstractNum>
  <w:abstractNum w:abstractNumId="2" w15:restartNumberingAfterBreak="0">
    <w:nsid w:val="1AC64E7A"/>
    <w:multiLevelType w:val="hybridMultilevel"/>
    <w:tmpl w:val="BA20D54C"/>
    <w:lvl w:ilvl="0" w:tplc="14090001">
      <w:start w:val="1"/>
      <w:numFmt w:val="bullet"/>
      <w:lvlText w:val=""/>
      <w:lvlJc w:val="left"/>
      <w:pPr>
        <w:ind w:left="1174" w:hanging="360"/>
      </w:pPr>
      <w:rPr>
        <w:rFonts w:ascii="Symbol" w:hAnsi="Symbol" w:hint="default"/>
      </w:rPr>
    </w:lvl>
    <w:lvl w:ilvl="1" w:tplc="14090003" w:tentative="1">
      <w:start w:val="1"/>
      <w:numFmt w:val="bullet"/>
      <w:lvlText w:val="o"/>
      <w:lvlJc w:val="left"/>
      <w:pPr>
        <w:ind w:left="1894" w:hanging="360"/>
      </w:pPr>
      <w:rPr>
        <w:rFonts w:ascii="Courier New" w:hAnsi="Courier New" w:cs="Courier New" w:hint="default"/>
      </w:rPr>
    </w:lvl>
    <w:lvl w:ilvl="2" w:tplc="14090005" w:tentative="1">
      <w:start w:val="1"/>
      <w:numFmt w:val="bullet"/>
      <w:lvlText w:val=""/>
      <w:lvlJc w:val="left"/>
      <w:pPr>
        <w:ind w:left="2614" w:hanging="360"/>
      </w:pPr>
      <w:rPr>
        <w:rFonts w:ascii="Wingdings" w:hAnsi="Wingdings" w:hint="default"/>
      </w:rPr>
    </w:lvl>
    <w:lvl w:ilvl="3" w:tplc="14090001" w:tentative="1">
      <w:start w:val="1"/>
      <w:numFmt w:val="bullet"/>
      <w:lvlText w:val=""/>
      <w:lvlJc w:val="left"/>
      <w:pPr>
        <w:ind w:left="3334" w:hanging="360"/>
      </w:pPr>
      <w:rPr>
        <w:rFonts w:ascii="Symbol" w:hAnsi="Symbol" w:hint="default"/>
      </w:rPr>
    </w:lvl>
    <w:lvl w:ilvl="4" w:tplc="14090003" w:tentative="1">
      <w:start w:val="1"/>
      <w:numFmt w:val="bullet"/>
      <w:lvlText w:val="o"/>
      <w:lvlJc w:val="left"/>
      <w:pPr>
        <w:ind w:left="4054" w:hanging="360"/>
      </w:pPr>
      <w:rPr>
        <w:rFonts w:ascii="Courier New" w:hAnsi="Courier New" w:cs="Courier New" w:hint="default"/>
      </w:rPr>
    </w:lvl>
    <w:lvl w:ilvl="5" w:tplc="14090005" w:tentative="1">
      <w:start w:val="1"/>
      <w:numFmt w:val="bullet"/>
      <w:lvlText w:val=""/>
      <w:lvlJc w:val="left"/>
      <w:pPr>
        <w:ind w:left="4774" w:hanging="360"/>
      </w:pPr>
      <w:rPr>
        <w:rFonts w:ascii="Wingdings" w:hAnsi="Wingdings" w:hint="default"/>
      </w:rPr>
    </w:lvl>
    <w:lvl w:ilvl="6" w:tplc="14090001" w:tentative="1">
      <w:start w:val="1"/>
      <w:numFmt w:val="bullet"/>
      <w:lvlText w:val=""/>
      <w:lvlJc w:val="left"/>
      <w:pPr>
        <w:ind w:left="5494" w:hanging="360"/>
      </w:pPr>
      <w:rPr>
        <w:rFonts w:ascii="Symbol" w:hAnsi="Symbol" w:hint="default"/>
      </w:rPr>
    </w:lvl>
    <w:lvl w:ilvl="7" w:tplc="14090003" w:tentative="1">
      <w:start w:val="1"/>
      <w:numFmt w:val="bullet"/>
      <w:lvlText w:val="o"/>
      <w:lvlJc w:val="left"/>
      <w:pPr>
        <w:ind w:left="6214" w:hanging="360"/>
      </w:pPr>
      <w:rPr>
        <w:rFonts w:ascii="Courier New" w:hAnsi="Courier New" w:cs="Courier New" w:hint="default"/>
      </w:rPr>
    </w:lvl>
    <w:lvl w:ilvl="8" w:tplc="14090005" w:tentative="1">
      <w:start w:val="1"/>
      <w:numFmt w:val="bullet"/>
      <w:lvlText w:val=""/>
      <w:lvlJc w:val="left"/>
      <w:pPr>
        <w:ind w:left="6934" w:hanging="360"/>
      </w:pPr>
      <w:rPr>
        <w:rFonts w:ascii="Wingdings" w:hAnsi="Wingdings" w:hint="default"/>
      </w:rPr>
    </w:lvl>
  </w:abstractNum>
  <w:abstractNum w:abstractNumId="3" w15:restartNumberingAfterBreak="0">
    <w:nsid w:val="364F4596"/>
    <w:multiLevelType w:val="hybridMultilevel"/>
    <w:tmpl w:val="868ADAE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58852015"/>
    <w:multiLevelType w:val="singleLevel"/>
    <w:tmpl w:val="80E2C1B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C99598D"/>
    <w:multiLevelType w:val="hybridMultilevel"/>
    <w:tmpl w:val="9CECA69C"/>
    <w:lvl w:ilvl="0" w:tplc="1409000F">
      <w:start w:val="1"/>
      <w:numFmt w:val="decimal"/>
      <w:lvlText w:val="%1."/>
      <w:lvlJc w:val="left"/>
      <w:pPr>
        <w:ind w:left="717" w:hanging="360"/>
      </w:pPr>
    </w:lvl>
    <w:lvl w:ilvl="1" w:tplc="14090019" w:tentative="1">
      <w:start w:val="1"/>
      <w:numFmt w:val="lowerLetter"/>
      <w:lvlText w:val="%2."/>
      <w:lvlJc w:val="left"/>
      <w:pPr>
        <w:ind w:left="1437" w:hanging="360"/>
      </w:p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num w:numId="1">
    <w:abstractNumId w:val="0"/>
  </w:num>
  <w:num w:numId="2">
    <w:abstractNumId w:val="4"/>
  </w:num>
  <w:num w:numId="3">
    <w:abstractNumId w:val="1"/>
  </w:num>
  <w:num w:numId="4">
    <w:abstractNumId w:val="0"/>
  </w:num>
  <w:num w:numId="5">
    <w:abstractNumId w:val="0"/>
  </w:num>
  <w:num w:numId="6">
    <w:abstractNumId w:val="0"/>
  </w:num>
  <w:num w:numId="7">
    <w:abstractNumId w:val="0"/>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5"/>
  </w:num>
  <w:num w:numId="19">
    <w:abstractNumId w:val="2"/>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22A"/>
    <w:rsid w:val="00012470"/>
    <w:rsid w:val="00043A67"/>
    <w:rsid w:val="00045AC6"/>
    <w:rsid w:val="00054899"/>
    <w:rsid w:val="00071D4E"/>
    <w:rsid w:val="0008260D"/>
    <w:rsid w:val="000874C9"/>
    <w:rsid w:val="00091670"/>
    <w:rsid w:val="000A0936"/>
    <w:rsid w:val="000A240D"/>
    <w:rsid w:val="000A32D2"/>
    <w:rsid w:val="000A48D8"/>
    <w:rsid w:val="000D27D0"/>
    <w:rsid w:val="000E00A2"/>
    <w:rsid w:val="000E340C"/>
    <w:rsid w:val="000E5C9D"/>
    <w:rsid w:val="000E6C50"/>
    <w:rsid w:val="000F3747"/>
    <w:rsid w:val="00105946"/>
    <w:rsid w:val="00115C41"/>
    <w:rsid w:val="0012555C"/>
    <w:rsid w:val="00147AD3"/>
    <w:rsid w:val="00170B26"/>
    <w:rsid w:val="00174D25"/>
    <w:rsid w:val="00175577"/>
    <w:rsid w:val="0019259E"/>
    <w:rsid w:val="001C3F6D"/>
    <w:rsid w:val="001D6336"/>
    <w:rsid w:val="001D7552"/>
    <w:rsid w:val="001E3D35"/>
    <w:rsid w:val="001E7658"/>
    <w:rsid w:val="001F4BF4"/>
    <w:rsid w:val="00202D00"/>
    <w:rsid w:val="0027034D"/>
    <w:rsid w:val="00297065"/>
    <w:rsid w:val="002A32F3"/>
    <w:rsid w:val="002A5F5B"/>
    <w:rsid w:val="002B2AC1"/>
    <w:rsid w:val="002D22EF"/>
    <w:rsid w:val="002D2541"/>
    <w:rsid w:val="002E235E"/>
    <w:rsid w:val="002E2761"/>
    <w:rsid w:val="002E7609"/>
    <w:rsid w:val="002F448A"/>
    <w:rsid w:val="00300904"/>
    <w:rsid w:val="00302717"/>
    <w:rsid w:val="00302B11"/>
    <w:rsid w:val="003053CC"/>
    <w:rsid w:val="00310B10"/>
    <w:rsid w:val="0032066E"/>
    <w:rsid w:val="00335211"/>
    <w:rsid w:val="003369F1"/>
    <w:rsid w:val="00347E8E"/>
    <w:rsid w:val="003C4FE7"/>
    <w:rsid w:val="003D71F2"/>
    <w:rsid w:val="003F178E"/>
    <w:rsid w:val="0042112B"/>
    <w:rsid w:val="00431766"/>
    <w:rsid w:val="00434F85"/>
    <w:rsid w:val="00445527"/>
    <w:rsid w:val="004518C8"/>
    <w:rsid w:val="00481E59"/>
    <w:rsid w:val="00493CA4"/>
    <w:rsid w:val="004A1CEA"/>
    <w:rsid w:val="004A50DF"/>
    <w:rsid w:val="004B0E37"/>
    <w:rsid w:val="004D537A"/>
    <w:rsid w:val="004F1438"/>
    <w:rsid w:val="0052182C"/>
    <w:rsid w:val="00537930"/>
    <w:rsid w:val="00537C48"/>
    <w:rsid w:val="005506B1"/>
    <w:rsid w:val="00582684"/>
    <w:rsid w:val="00583E39"/>
    <w:rsid w:val="005918E0"/>
    <w:rsid w:val="00594E96"/>
    <w:rsid w:val="005A10CA"/>
    <w:rsid w:val="005A6D44"/>
    <w:rsid w:val="005A731F"/>
    <w:rsid w:val="005C4002"/>
    <w:rsid w:val="005D2789"/>
    <w:rsid w:val="005E3533"/>
    <w:rsid w:val="005E74C7"/>
    <w:rsid w:val="00605239"/>
    <w:rsid w:val="00607434"/>
    <w:rsid w:val="00610A6D"/>
    <w:rsid w:val="006227E8"/>
    <w:rsid w:val="00643FE4"/>
    <w:rsid w:val="00683406"/>
    <w:rsid w:val="00684B7F"/>
    <w:rsid w:val="0069081E"/>
    <w:rsid w:val="00692CE1"/>
    <w:rsid w:val="006A2F8D"/>
    <w:rsid w:val="006A49D8"/>
    <w:rsid w:val="006C0023"/>
    <w:rsid w:val="006C00D2"/>
    <w:rsid w:val="006D2114"/>
    <w:rsid w:val="006F2355"/>
    <w:rsid w:val="00710DC6"/>
    <w:rsid w:val="00720F2F"/>
    <w:rsid w:val="007361C2"/>
    <w:rsid w:val="00743F1E"/>
    <w:rsid w:val="007639DE"/>
    <w:rsid w:val="00771468"/>
    <w:rsid w:val="0078581B"/>
    <w:rsid w:val="007871D1"/>
    <w:rsid w:val="007B1C1D"/>
    <w:rsid w:val="007C2029"/>
    <w:rsid w:val="007C624C"/>
    <w:rsid w:val="007D11EA"/>
    <w:rsid w:val="007E71FC"/>
    <w:rsid w:val="007E7B04"/>
    <w:rsid w:val="0082022B"/>
    <w:rsid w:val="00822BBD"/>
    <w:rsid w:val="0084191C"/>
    <w:rsid w:val="0084774A"/>
    <w:rsid w:val="00863160"/>
    <w:rsid w:val="0086458A"/>
    <w:rsid w:val="008756C2"/>
    <w:rsid w:val="008A4A41"/>
    <w:rsid w:val="008B6BE9"/>
    <w:rsid w:val="008C58FB"/>
    <w:rsid w:val="008D5D07"/>
    <w:rsid w:val="00963BAD"/>
    <w:rsid w:val="009717D3"/>
    <w:rsid w:val="00991002"/>
    <w:rsid w:val="009A348F"/>
    <w:rsid w:val="009B4BC6"/>
    <w:rsid w:val="009C7F9D"/>
    <w:rsid w:val="009D541F"/>
    <w:rsid w:val="009E4D84"/>
    <w:rsid w:val="009F193D"/>
    <w:rsid w:val="00A016E1"/>
    <w:rsid w:val="00A10F4C"/>
    <w:rsid w:val="00A243D5"/>
    <w:rsid w:val="00A27996"/>
    <w:rsid w:val="00A36D06"/>
    <w:rsid w:val="00A451F8"/>
    <w:rsid w:val="00A47308"/>
    <w:rsid w:val="00A5435F"/>
    <w:rsid w:val="00A650CB"/>
    <w:rsid w:val="00A76C0A"/>
    <w:rsid w:val="00A81227"/>
    <w:rsid w:val="00A87FE5"/>
    <w:rsid w:val="00A90E03"/>
    <w:rsid w:val="00AB09CA"/>
    <w:rsid w:val="00AB23B9"/>
    <w:rsid w:val="00AC6439"/>
    <w:rsid w:val="00B00C54"/>
    <w:rsid w:val="00B07D4F"/>
    <w:rsid w:val="00B17143"/>
    <w:rsid w:val="00B454EE"/>
    <w:rsid w:val="00BB5925"/>
    <w:rsid w:val="00BC13CB"/>
    <w:rsid w:val="00BD1BB0"/>
    <w:rsid w:val="00BD379A"/>
    <w:rsid w:val="00C10686"/>
    <w:rsid w:val="00C146CD"/>
    <w:rsid w:val="00C23CA8"/>
    <w:rsid w:val="00C32F5C"/>
    <w:rsid w:val="00C5448C"/>
    <w:rsid w:val="00C61AC6"/>
    <w:rsid w:val="00C72BF3"/>
    <w:rsid w:val="00C77DAC"/>
    <w:rsid w:val="00C81777"/>
    <w:rsid w:val="00CC3412"/>
    <w:rsid w:val="00CC6083"/>
    <w:rsid w:val="00CE1A46"/>
    <w:rsid w:val="00CE5A61"/>
    <w:rsid w:val="00CF0F24"/>
    <w:rsid w:val="00CF1860"/>
    <w:rsid w:val="00D0688C"/>
    <w:rsid w:val="00D06C35"/>
    <w:rsid w:val="00D12479"/>
    <w:rsid w:val="00D17832"/>
    <w:rsid w:val="00D22465"/>
    <w:rsid w:val="00D3022A"/>
    <w:rsid w:val="00D6680E"/>
    <w:rsid w:val="00D70965"/>
    <w:rsid w:val="00D84C4B"/>
    <w:rsid w:val="00D85D48"/>
    <w:rsid w:val="00D95ADF"/>
    <w:rsid w:val="00DB28F8"/>
    <w:rsid w:val="00DD097A"/>
    <w:rsid w:val="00DD61E7"/>
    <w:rsid w:val="00DE1948"/>
    <w:rsid w:val="00DE27B7"/>
    <w:rsid w:val="00DE27D6"/>
    <w:rsid w:val="00DE7783"/>
    <w:rsid w:val="00DF3FEA"/>
    <w:rsid w:val="00DF78B3"/>
    <w:rsid w:val="00E32648"/>
    <w:rsid w:val="00E4437D"/>
    <w:rsid w:val="00E6095C"/>
    <w:rsid w:val="00E64F14"/>
    <w:rsid w:val="00E66665"/>
    <w:rsid w:val="00E75E54"/>
    <w:rsid w:val="00E8490D"/>
    <w:rsid w:val="00E90BCC"/>
    <w:rsid w:val="00E927CA"/>
    <w:rsid w:val="00E97535"/>
    <w:rsid w:val="00EA5AE8"/>
    <w:rsid w:val="00EA5BAC"/>
    <w:rsid w:val="00EB43FE"/>
    <w:rsid w:val="00EB5ABB"/>
    <w:rsid w:val="00EC3A2E"/>
    <w:rsid w:val="00EC67F7"/>
    <w:rsid w:val="00EE4F24"/>
    <w:rsid w:val="00F06B69"/>
    <w:rsid w:val="00F150B0"/>
    <w:rsid w:val="00F271B1"/>
    <w:rsid w:val="00F3363F"/>
    <w:rsid w:val="00F41A4E"/>
    <w:rsid w:val="00F44CFB"/>
    <w:rsid w:val="00F45745"/>
    <w:rsid w:val="00F53C0E"/>
    <w:rsid w:val="00F700EE"/>
    <w:rsid w:val="00F71C1E"/>
    <w:rsid w:val="00F73D34"/>
    <w:rsid w:val="00F96CF6"/>
    <w:rsid w:val="00FA23AA"/>
    <w:rsid w:val="00FC32CD"/>
    <w:rsid w:val="00FD5F8B"/>
    <w:rsid w:val="00FF0140"/>
    <w:rsid w:val="00FF0254"/>
    <w:rsid w:val="00FF671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88287"/>
  <w15:docId w15:val="{4812C34A-1FB1-4229-B34D-7DFD5F5A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2"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2"/>
    <w:qFormat/>
    <w:rsid w:val="00D3022A"/>
    <w:pPr>
      <w:spacing w:after="0" w:line="240" w:lineRule="auto"/>
    </w:pPr>
    <w:rPr>
      <w:rFonts w:ascii="Frutiger LT 45 Light" w:eastAsia="Times New Roman" w:hAnsi="Frutiger LT 45 Light" w:cs="Times New Roman"/>
      <w:szCs w:val="20"/>
      <w:lang w:eastAsia="en-GB"/>
    </w:rPr>
  </w:style>
  <w:style w:type="paragraph" w:styleId="Heading1">
    <w:name w:val="heading 1"/>
    <w:basedOn w:val="BodyText"/>
    <w:next w:val="BodyText"/>
    <w:link w:val="Heading1Char"/>
    <w:qFormat/>
    <w:rsid w:val="00D3022A"/>
    <w:pPr>
      <w:keepNext/>
      <w:pBdr>
        <w:bottom w:val="single" w:sz="8" w:space="5" w:color="auto"/>
      </w:pBdr>
      <w:spacing w:before="240" w:after="60" w:line="400" w:lineRule="atLeast"/>
      <w:outlineLvl w:val="0"/>
    </w:pPr>
    <w:rPr>
      <w:rFonts w:cs="Arial"/>
      <w:b/>
      <w:bCs/>
      <w:color w:val="333333"/>
      <w:kern w:val="32"/>
      <w:sz w:val="48"/>
      <w:szCs w:val="22"/>
    </w:rPr>
  </w:style>
  <w:style w:type="paragraph" w:styleId="Heading2">
    <w:name w:val="heading 2"/>
    <w:basedOn w:val="BodyText"/>
    <w:next w:val="BodyText"/>
    <w:link w:val="Heading2Char"/>
    <w:qFormat/>
    <w:rsid w:val="00D3022A"/>
    <w:pPr>
      <w:keepNext/>
      <w:spacing w:before="240" w:after="60"/>
      <w:outlineLvl w:val="1"/>
    </w:pPr>
    <w:rPr>
      <w:rFonts w:cs="Arial"/>
      <w:b/>
      <w:bCs/>
      <w:iCs/>
      <w:color w:val="333333"/>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022A"/>
    <w:rPr>
      <w:rFonts w:ascii="Frutiger LT 45 Light" w:eastAsia="Times New Roman" w:hAnsi="Frutiger LT 45 Light" w:cs="Arial"/>
      <w:b/>
      <w:bCs/>
      <w:color w:val="333333"/>
      <w:kern w:val="32"/>
      <w:sz w:val="48"/>
      <w:lang w:eastAsia="en-GB"/>
    </w:rPr>
  </w:style>
  <w:style w:type="character" w:customStyle="1" w:styleId="Heading2Char">
    <w:name w:val="Heading 2 Char"/>
    <w:basedOn w:val="DefaultParagraphFont"/>
    <w:link w:val="Heading2"/>
    <w:rsid w:val="00D3022A"/>
    <w:rPr>
      <w:rFonts w:ascii="Frutiger LT 45 Light" w:eastAsia="Times New Roman" w:hAnsi="Frutiger LT 45 Light" w:cs="Arial"/>
      <w:b/>
      <w:bCs/>
      <w:iCs/>
      <w:color w:val="333333"/>
      <w:sz w:val="28"/>
      <w:szCs w:val="20"/>
      <w:lang w:eastAsia="en-GB"/>
    </w:rPr>
  </w:style>
  <w:style w:type="paragraph" w:styleId="BodyText">
    <w:name w:val="Body Text"/>
    <w:basedOn w:val="Normal"/>
    <w:link w:val="BodyTextChar"/>
    <w:uiPriority w:val="1"/>
    <w:qFormat/>
    <w:rsid w:val="00D3022A"/>
    <w:pPr>
      <w:spacing w:after="240" w:line="320" w:lineRule="atLeast"/>
    </w:pPr>
  </w:style>
  <w:style w:type="character" w:customStyle="1" w:styleId="BodyTextChar">
    <w:name w:val="Body Text Char"/>
    <w:basedOn w:val="DefaultParagraphFont"/>
    <w:link w:val="BodyText"/>
    <w:uiPriority w:val="1"/>
    <w:rsid w:val="00D3022A"/>
    <w:rPr>
      <w:rFonts w:ascii="Frutiger LT 45 Light" w:eastAsia="Times New Roman" w:hAnsi="Frutiger LT 45 Light" w:cs="Times New Roman"/>
      <w:szCs w:val="20"/>
      <w:lang w:eastAsia="en-GB"/>
    </w:rPr>
  </w:style>
  <w:style w:type="table" w:styleId="TableGrid">
    <w:name w:val="Table Grid"/>
    <w:basedOn w:val="TableNormal"/>
    <w:rsid w:val="00D3022A"/>
    <w:pPr>
      <w:spacing w:after="0" w:line="240" w:lineRule="auto"/>
    </w:pPr>
    <w:rPr>
      <w:rFonts w:ascii="Frutiger LT 45 Light" w:eastAsia="Times New Roman" w:hAnsi="Frutiger LT 45 Light"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0023"/>
    <w:pPr>
      <w:tabs>
        <w:tab w:val="center" w:pos="4513"/>
        <w:tab w:val="right" w:pos="9026"/>
      </w:tabs>
    </w:pPr>
  </w:style>
  <w:style w:type="character" w:customStyle="1" w:styleId="HeaderChar">
    <w:name w:val="Header Char"/>
    <w:basedOn w:val="DefaultParagraphFont"/>
    <w:link w:val="Header"/>
    <w:uiPriority w:val="99"/>
    <w:rsid w:val="006C0023"/>
    <w:rPr>
      <w:rFonts w:ascii="Frutiger LT 45 Light" w:eastAsia="Times New Roman" w:hAnsi="Frutiger LT 45 Light" w:cs="Times New Roman"/>
      <w:szCs w:val="20"/>
      <w:lang w:eastAsia="en-GB"/>
    </w:rPr>
  </w:style>
  <w:style w:type="paragraph" w:styleId="Footer">
    <w:name w:val="footer"/>
    <w:basedOn w:val="Normal"/>
    <w:link w:val="FooterChar"/>
    <w:uiPriority w:val="99"/>
    <w:unhideWhenUsed/>
    <w:rsid w:val="006C0023"/>
    <w:pPr>
      <w:tabs>
        <w:tab w:val="center" w:pos="4513"/>
        <w:tab w:val="right" w:pos="9026"/>
      </w:tabs>
    </w:pPr>
  </w:style>
  <w:style w:type="character" w:customStyle="1" w:styleId="FooterChar">
    <w:name w:val="Footer Char"/>
    <w:basedOn w:val="DefaultParagraphFont"/>
    <w:link w:val="Footer"/>
    <w:uiPriority w:val="99"/>
    <w:rsid w:val="006C0023"/>
    <w:rPr>
      <w:rFonts w:ascii="Frutiger LT 45 Light" w:eastAsia="Times New Roman" w:hAnsi="Frutiger LT 45 Light" w:cs="Times New Roman"/>
      <w:szCs w:val="20"/>
      <w:lang w:eastAsia="en-GB"/>
    </w:rPr>
  </w:style>
  <w:style w:type="character" w:styleId="CommentReference">
    <w:name w:val="annotation reference"/>
    <w:basedOn w:val="DefaultParagraphFont"/>
    <w:uiPriority w:val="99"/>
    <w:semiHidden/>
    <w:unhideWhenUsed/>
    <w:rsid w:val="000A240D"/>
    <w:rPr>
      <w:sz w:val="16"/>
      <w:szCs w:val="16"/>
    </w:rPr>
  </w:style>
  <w:style w:type="paragraph" w:styleId="CommentText">
    <w:name w:val="annotation text"/>
    <w:basedOn w:val="Normal"/>
    <w:link w:val="CommentTextChar"/>
    <w:uiPriority w:val="99"/>
    <w:semiHidden/>
    <w:unhideWhenUsed/>
    <w:rsid w:val="000A240D"/>
    <w:rPr>
      <w:sz w:val="20"/>
    </w:rPr>
  </w:style>
  <w:style w:type="character" w:customStyle="1" w:styleId="CommentTextChar">
    <w:name w:val="Comment Text Char"/>
    <w:basedOn w:val="DefaultParagraphFont"/>
    <w:link w:val="CommentText"/>
    <w:uiPriority w:val="99"/>
    <w:semiHidden/>
    <w:rsid w:val="000A240D"/>
    <w:rPr>
      <w:rFonts w:ascii="Frutiger LT 45 Light" w:eastAsia="Times New Roman" w:hAnsi="Frutiger LT 45 Light"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A240D"/>
    <w:rPr>
      <w:b/>
      <w:bCs/>
    </w:rPr>
  </w:style>
  <w:style w:type="character" w:customStyle="1" w:styleId="CommentSubjectChar">
    <w:name w:val="Comment Subject Char"/>
    <w:basedOn w:val="CommentTextChar"/>
    <w:link w:val="CommentSubject"/>
    <w:uiPriority w:val="99"/>
    <w:semiHidden/>
    <w:rsid w:val="000A240D"/>
    <w:rPr>
      <w:rFonts w:ascii="Frutiger LT 45 Light" w:eastAsia="Times New Roman" w:hAnsi="Frutiger LT 45 Light" w:cs="Times New Roman"/>
      <w:b/>
      <w:bCs/>
      <w:sz w:val="20"/>
      <w:szCs w:val="20"/>
      <w:lang w:eastAsia="en-GB"/>
    </w:rPr>
  </w:style>
  <w:style w:type="paragraph" w:styleId="BalloonText">
    <w:name w:val="Balloon Text"/>
    <w:basedOn w:val="Normal"/>
    <w:link w:val="BalloonTextChar"/>
    <w:uiPriority w:val="99"/>
    <w:semiHidden/>
    <w:unhideWhenUsed/>
    <w:rsid w:val="000A24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240D"/>
    <w:rPr>
      <w:rFonts w:ascii="Segoe UI" w:eastAsia="Times New Roman" w:hAnsi="Segoe UI" w:cs="Segoe UI"/>
      <w:sz w:val="18"/>
      <w:szCs w:val="18"/>
      <w:lang w:eastAsia="en-GB"/>
    </w:rPr>
  </w:style>
  <w:style w:type="paragraph" w:styleId="ListBullet">
    <w:name w:val="List Bullet"/>
    <w:basedOn w:val="Normal"/>
    <w:uiPriority w:val="99"/>
    <w:unhideWhenUsed/>
    <w:rsid w:val="00FF0254"/>
    <w:pPr>
      <w:numPr>
        <w:numId w:val="1"/>
      </w:numPr>
      <w:contextualSpacing/>
    </w:pPr>
  </w:style>
  <w:style w:type="paragraph" w:styleId="ListParagraph">
    <w:name w:val="List Paragraph"/>
    <w:basedOn w:val="Normal"/>
    <w:uiPriority w:val="34"/>
    <w:qFormat/>
    <w:rsid w:val="00E97535"/>
    <w:pPr>
      <w:ind w:left="720"/>
    </w:pPr>
    <w:rPr>
      <w:rFonts w:ascii="Calibri" w:eastAsiaTheme="minorHAnsi" w:hAnsi="Calibri"/>
      <w:szCs w:val="22"/>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28668">
      <w:bodyDiv w:val="1"/>
      <w:marLeft w:val="0"/>
      <w:marRight w:val="0"/>
      <w:marTop w:val="0"/>
      <w:marBottom w:val="0"/>
      <w:divBdr>
        <w:top w:val="none" w:sz="0" w:space="0" w:color="auto"/>
        <w:left w:val="none" w:sz="0" w:space="0" w:color="auto"/>
        <w:bottom w:val="none" w:sz="0" w:space="0" w:color="auto"/>
        <w:right w:val="none" w:sz="0" w:space="0" w:color="auto"/>
      </w:divBdr>
    </w:div>
    <w:div w:id="584850579">
      <w:bodyDiv w:val="1"/>
      <w:marLeft w:val="0"/>
      <w:marRight w:val="0"/>
      <w:marTop w:val="0"/>
      <w:marBottom w:val="0"/>
      <w:divBdr>
        <w:top w:val="none" w:sz="0" w:space="0" w:color="auto"/>
        <w:left w:val="none" w:sz="0" w:space="0" w:color="auto"/>
        <w:bottom w:val="none" w:sz="0" w:space="0" w:color="auto"/>
        <w:right w:val="none" w:sz="0" w:space="0" w:color="auto"/>
      </w:divBdr>
    </w:div>
    <w:div w:id="645475349">
      <w:bodyDiv w:val="1"/>
      <w:marLeft w:val="0"/>
      <w:marRight w:val="0"/>
      <w:marTop w:val="0"/>
      <w:marBottom w:val="0"/>
      <w:divBdr>
        <w:top w:val="none" w:sz="0" w:space="0" w:color="auto"/>
        <w:left w:val="none" w:sz="0" w:space="0" w:color="auto"/>
        <w:bottom w:val="none" w:sz="0" w:space="0" w:color="auto"/>
        <w:right w:val="none" w:sz="0" w:space="0" w:color="auto"/>
      </w:divBdr>
    </w:div>
    <w:div w:id="101334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49D0B-10AF-4C72-8744-FC16EE028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Andrew.Walker@gasindustry.co.nz</dc:creator>
  <cp:lastModifiedBy>Pamela Caird</cp:lastModifiedBy>
  <cp:revision>18</cp:revision>
  <cp:lastPrinted>2015-01-27T00:33:00Z</cp:lastPrinted>
  <dcterms:created xsi:type="dcterms:W3CDTF">2015-09-24T02:37:00Z</dcterms:created>
  <dcterms:modified xsi:type="dcterms:W3CDTF">2015-09-25T00:13:00Z</dcterms:modified>
</cp:coreProperties>
</file>