
<file path=[Content_Types].xml><?xml version="1.0" encoding="utf-8"?>
<Types xmlns="http://schemas.openxmlformats.org/package/2006/content-types">
  <Default Extension="rels" ContentType="application/vnd.openxmlformats-package.relationships+xml"/>
  <Default Extension="xml" ContentType="application/xml"/>
  <Default Extension="1718DF7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C1" w:rsidRPr="0079607F" w:rsidRDefault="00F224B4" w:rsidP="002972AA">
      <w:pPr>
        <w:pStyle w:val="Title"/>
        <w:spacing w:after="360"/>
      </w:pPr>
      <w:r>
        <w:t>MEMORANDUM</w:t>
      </w:r>
    </w:p>
    <w:p w:rsidR="00ED75C1" w:rsidRPr="0092611E" w:rsidRDefault="00ED75C1" w:rsidP="00ED75C1">
      <w:pPr>
        <w:pStyle w:val="BodyText"/>
        <w:spacing w:after="120"/>
        <w:ind w:left="851" w:hanging="851"/>
      </w:pPr>
      <w:r w:rsidRPr="0092611E">
        <w:t>TO:</w:t>
      </w:r>
      <w:r w:rsidRPr="0092611E">
        <w:tab/>
      </w:r>
      <w:r w:rsidR="009575B4">
        <w:t>Pipeline Users</w:t>
      </w:r>
    </w:p>
    <w:p w:rsidR="00ED75C1" w:rsidRPr="0092611E" w:rsidRDefault="00ED75C1" w:rsidP="00ED75C1">
      <w:pPr>
        <w:pStyle w:val="BodyText"/>
        <w:spacing w:after="120"/>
        <w:ind w:left="851" w:hanging="851"/>
      </w:pPr>
      <w:r w:rsidRPr="0092611E">
        <w:t xml:space="preserve">FROM: </w:t>
      </w:r>
      <w:r w:rsidRPr="0092611E">
        <w:tab/>
      </w:r>
      <w:r w:rsidR="00533B6A">
        <w:t>First Gas</w:t>
      </w:r>
      <w:r>
        <w:t xml:space="preserve"> </w:t>
      </w:r>
    </w:p>
    <w:p w:rsidR="00ED75C1" w:rsidRPr="001F67E1" w:rsidRDefault="00ED75C1" w:rsidP="00ED75C1">
      <w:pPr>
        <w:pStyle w:val="BodyText"/>
        <w:spacing w:after="120"/>
        <w:ind w:left="851" w:hanging="851"/>
      </w:pPr>
      <w:r w:rsidRPr="0092611E">
        <w:t>DATE:</w:t>
      </w:r>
      <w:r w:rsidRPr="0092611E">
        <w:tab/>
      </w:r>
      <w:r w:rsidR="00533B6A">
        <w:t xml:space="preserve">11 September </w:t>
      </w:r>
      <w:r w:rsidR="005260AA">
        <w:t>2017</w:t>
      </w:r>
    </w:p>
    <w:p w:rsidR="00ED75C1" w:rsidRPr="00B14305" w:rsidRDefault="00ED75C1" w:rsidP="00B14305">
      <w:pPr>
        <w:pStyle w:val="BodyText"/>
        <w:ind w:left="851" w:hanging="851"/>
        <w:rPr>
          <w:b/>
          <w:bCs/>
          <w:lang w:val="en-US"/>
        </w:rPr>
      </w:pPr>
      <w:r w:rsidRPr="001F67E1">
        <w:t xml:space="preserve">RE: </w:t>
      </w:r>
      <w:r w:rsidRPr="001F67E1">
        <w:tab/>
      </w:r>
      <w:r w:rsidR="009575B4">
        <w:rPr>
          <w:b/>
          <w:bCs/>
          <w:lang w:val="en-US"/>
        </w:rPr>
        <w:t xml:space="preserve">GTAC August </w:t>
      </w:r>
      <w:r w:rsidR="00F224B4">
        <w:rPr>
          <w:b/>
          <w:bCs/>
          <w:lang w:val="en-US"/>
        </w:rPr>
        <w:t xml:space="preserve">Workshops: </w:t>
      </w:r>
      <w:r w:rsidR="009575B4">
        <w:rPr>
          <w:b/>
          <w:bCs/>
          <w:lang w:val="en-US"/>
        </w:rPr>
        <w:t xml:space="preserve">Actions </w:t>
      </w:r>
      <w:r w:rsidR="00F224B4">
        <w:rPr>
          <w:b/>
          <w:bCs/>
          <w:lang w:val="en-US"/>
        </w:rPr>
        <w:t>List</w:t>
      </w:r>
      <w:r w:rsidR="00533B6A">
        <w:rPr>
          <w:b/>
          <w:bCs/>
          <w:lang w:val="en-US"/>
        </w:rPr>
        <w:t xml:space="preserve"> with Actions Taken </w:t>
      </w:r>
    </w:p>
    <w:p w:rsidR="00ED75C1" w:rsidRDefault="00ED75C1" w:rsidP="00ED75C1">
      <w:pPr>
        <w:pBdr>
          <w:bottom w:val="single" w:sz="4" w:space="1" w:color="auto"/>
        </w:pBdr>
        <w:tabs>
          <w:tab w:val="left" w:pos="1418"/>
        </w:tabs>
        <w:spacing w:after="240" w:line="252" w:lineRule="auto"/>
        <w:ind w:left="1418" w:hanging="1418"/>
        <w:rPr>
          <w:rFonts w:cs="Arial"/>
          <w:bCs/>
        </w:rPr>
      </w:pPr>
    </w:p>
    <w:p w:rsidR="009575B4" w:rsidRPr="009575B4" w:rsidRDefault="009575B4" w:rsidP="009575B4">
      <w:pPr>
        <w:pStyle w:val="BodyText"/>
        <w:spacing w:after="120"/>
        <w:rPr>
          <w:b/>
        </w:rPr>
      </w:pPr>
      <w:r w:rsidRPr="009575B4">
        <w:rPr>
          <w:b/>
        </w:rPr>
        <w:t xml:space="preserve">Actions from </w:t>
      </w:r>
      <w:r w:rsidR="008D1F6B">
        <w:rPr>
          <w:b/>
        </w:rPr>
        <w:t xml:space="preserve">Thursday, </w:t>
      </w:r>
      <w:r w:rsidRPr="009575B4">
        <w:rPr>
          <w:b/>
        </w:rPr>
        <w:t>17 August</w:t>
      </w:r>
      <w:r w:rsidR="008D1F6B">
        <w:rPr>
          <w:b/>
        </w:rPr>
        <w:t xml:space="preserve"> 2017</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2977"/>
        <w:gridCol w:w="1701"/>
        <w:gridCol w:w="3969"/>
      </w:tblGrid>
      <w:tr w:rsidR="0068672D" w:rsidRPr="009575B4" w:rsidTr="0068672D">
        <w:trPr>
          <w:tblHeader/>
        </w:trPr>
        <w:tc>
          <w:tcPr>
            <w:tcW w:w="562" w:type="dxa"/>
            <w:shd w:val="clear" w:color="auto" w:fill="DEEAF6" w:themeFill="accent1" w:themeFillTint="33"/>
          </w:tcPr>
          <w:p w:rsidR="0068672D" w:rsidRPr="009575B4" w:rsidRDefault="0068672D" w:rsidP="0003063F">
            <w:pPr>
              <w:pStyle w:val="BodyText"/>
              <w:spacing w:before="60" w:after="60"/>
              <w:jc w:val="center"/>
              <w:rPr>
                <w:b/>
              </w:rPr>
            </w:pPr>
            <w:r w:rsidRPr="009575B4">
              <w:rPr>
                <w:b/>
              </w:rPr>
              <w:t>#</w:t>
            </w:r>
          </w:p>
        </w:tc>
        <w:tc>
          <w:tcPr>
            <w:tcW w:w="2977" w:type="dxa"/>
            <w:shd w:val="clear" w:color="auto" w:fill="DEEAF6" w:themeFill="accent1" w:themeFillTint="33"/>
          </w:tcPr>
          <w:p w:rsidR="0068672D" w:rsidRPr="009575B4" w:rsidRDefault="0068672D" w:rsidP="0068672D">
            <w:pPr>
              <w:pStyle w:val="BodyText"/>
              <w:spacing w:before="60" w:after="60"/>
              <w:jc w:val="left"/>
              <w:rPr>
                <w:b/>
              </w:rPr>
            </w:pPr>
            <w:r w:rsidRPr="009575B4">
              <w:rPr>
                <w:b/>
              </w:rPr>
              <w:t>Item</w:t>
            </w:r>
          </w:p>
        </w:tc>
        <w:tc>
          <w:tcPr>
            <w:tcW w:w="1701" w:type="dxa"/>
            <w:shd w:val="clear" w:color="auto" w:fill="DEEAF6" w:themeFill="accent1" w:themeFillTint="33"/>
          </w:tcPr>
          <w:p w:rsidR="0068672D" w:rsidRPr="009575B4" w:rsidRDefault="0068672D" w:rsidP="009575B4">
            <w:pPr>
              <w:pStyle w:val="BodyText"/>
              <w:spacing w:before="60" w:after="60"/>
              <w:rPr>
                <w:b/>
              </w:rPr>
            </w:pPr>
            <w:r w:rsidRPr="009575B4">
              <w:rPr>
                <w:b/>
              </w:rPr>
              <w:t>Responsibility</w:t>
            </w:r>
          </w:p>
        </w:tc>
        <w:tc>
          <w:tcPr>
            <w:tcW w:w="3969" w:type="dxa"/>
            <w:shd w:val="clear" w:color="auto" w:fill="DEEAF6" w:themeFill="accent1" w:themeFillTint="33"/>
          </w:tcPr>
          <w:p w:rsidR="0068672D" w:rsidRPr="009575B4" w:rsidRDefault="008E6611" w:rsidP="0068672D">
            <w:pPr>
              <w:pStyle w:val="BodyText"/>
              <w:spacing w:before="60" w:after="60"/>
              <w:jc w:val="left"/>
              <w:rPr>
                <w:b/>
              </w:rPr>
            </w:pPr>
            <w:r>
              <w:rPr>
                <w:b/>
              </w:rPr>
              <w:t>Action Taken</w:t>
            </w:r>
          </w:p>
        </w:tc>
      </w:tr>
      <w:tr w:rsidR="00640204" w:rsidTr="0068672D">
        <w:tc>
          <w:tcPr>
            <w:tcW w:w="562" w:type="dxa"/>
          </w:tcPr>
          <w:p w:rsidR="00640204" w:rsidRDefault="00640204" w:rsidP="00640204">
            <w:pPr>
              <w:pStyle w:val="BodyText"/>
              <w:spacing w:before="60" w:after="60"/>
              <w:jc w:val="center"/>
            </w:pPr>
            <w:r>
              <w:t>1</w:t>
            </w:r>
          </w:p>
        </w:tc>
        <w:tc>
          <w:tcPr>
            <w:tcW w:w="2977" w:type="dxa"/>
          </w:tcPr>
          <w:p w:rsidR="00640204" w:rsidRDefault="00640204" w:rsidP="00640204">
            <w:pPr>
              <w:pStyle w:val="BodyText"/>
              <w:spacing w:before="60" w:after="60"/>
              <w:jc w:val="left"/>
            </w:pPr>
            <w:r>
              <w:t>Release further information on the process and timeframes for developing the requirements for the GTAC IT System</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640204">
            <w:pPr>
              <w:pStyle w:val="BodyText"/>
              <w:spacing w:before="60" w:after="60"/>
              <w:jc w:val="left"/>
            </w:pPr>
            <w:r>
              <w:t>Note on process and timeframes IT system development released, together with additional condition precedent for MPOC termination</w:t>
            </w:r>
            <w:r w:rsidR="00A43205">
              <w:t>. Statement of requirements for new IT system also sent to stakeholders for comment</w:t>
            </w:r>
          </w:p>
        </w:tc>
      </w:tr>
      <w:tr w:rsidR="00640204" w:rsidTr="0068672D">
        <w:tc>
          <w:tcPr>
            <w:tcW w:w="562" w:type="dxa"/>
          </w:tcPr>
          <w:p w:rsidR="00640204" w:rsidRDefault="00640204" w:rsidP="00640204">
            <w:pPr>
              <w:pStyle w:val="BodyText"/>
              <w:spacing w:before="60" w:after="60"/>
              <w:jc w:val="center"/>
            </w:pPr>
            <w:r>
              <w:t>2</w:t>
            </w:r>
          </w:p>
        </w:tc>
        <w:tc>
          <w:tcPr>
            <w:tcW w:w="2977" w:type="dxa"/>
          </w:tcPr>
          <w:p w:rsidR="00640204" w:rsidRDefault="00640204" w:rsidP="00640204">
            <w:pPr>
              <w:pStyle w:val="BodyText"/>
              <w:spacing w:before="60" w:after="60"/>
              <w:jc w:val="left"/>
            </w:pPr>
            <w:r>
              <w:t>Review the use of best/reasonable endeavours in the GTAC. Search and make consistent.</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640204">
            <w:pPr>
              <w:pStyle w:val="BodyText"/>
              <w:spacing w:before="60" w:after="60"/>
              <w:jc w:val="left"/>
            </w:pPr>
            <w:r>
              <w:t xml:space="preserve">GTAC now adopts consistent use of “reasonable endeavours”, </w:t>
            </w:r>
            <w:proofErr w:type="gramStart"/>
            <w:r>
              <w:t>with the exception of</w:t>
            </w:r>
            <w:proofErr w:type="gramEnd"/>
            <w:r>
              <w:t xml:space="preserve"> one remaining use of “best endeavours”. That occurs in section 9.4 where, in relation to an OFO a “…</w:t>
            </w:r>
            <w:r w:rsidRPr="00CE26DC">
              <w:rPr>
                <w:snapToGrid w:val="0"/>
              </w:rPr>
              <w:t xml:space="preserve">Shipper shall use its best endeavours to comply with </w:t>
            </w:r>
            <w:r>
              <w:rPr>
                <w:snapToGrid w:val="0"/>
              </w:rPr>
              <w:t>that</w:t>
            </w:r>
            <w:r w:rsidRPr="00CE26DC">
              <w:rPr>
                <w:snapToGrid w:val="0"/>
              </w:rPr>
              <w:t xml:space="preserve"> </w:t>
            </w:r>
            <w:r>
              <w:rPr>
                <w:snapToGrid w:val="0"/>
              </w:rPr>
              <w:t>OFO</w:t>
            </w:r>
            <w:r w:rsidRPr="00CE26DC">
              <w:rPr>
                <w:snapToGrid w:val="0"/>
              </w:rPr>
              <w:t xml:space="preserve">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Pr>
                <w:snapToGrid w:val="0"/>
              </w:rPr>
              <w:t>shut down of affected plant</w:t>
            </w:r>
            <w:r>
              <w:t>”</w:t>
            </w:r>
            <w:r w:rsidR="00A43205">
              <w:t>. T</w:t>
            </w:r>
            <w:r>
              <w:t>his</w:t>
            </w:r>
            <w:r w:rsidR="00A43205">
              <w:t xml:space="preserve"> is</w:t>
            </w:r>
            <w:r>
              <w:t xml:space="preserve"> qualified b</w:t>
            </w:r>
            <w:r w:rsidR="00A43205">
              <w:t>y the provisions of section 9.5</w:t>
            </w:r>
          </w:p>
        </w:tc>
      </w:tr>
      <w:tr w:rsidR="00640204" w:rsidTr="0068672D">
        <w:tc>
          <w:tcPr>
            <w:tcW w:w="562" w:type="dxa"/>
          </w:tcPr>
          <w:p w:rsidR="00640204" w:rsidRDefault="00640204" w:rsidP="00640204">
            <w:pPr>
              <w:pStyle w:val="BodyText"/>
              <w:spacing w:before="60" w:after="60"/>
              <w:jc w:val="center"/>
            </w:pPr>
            <w:r>
              <w:t>3</w:t>
            </w:r>
          </w:p>
        </w:tc>
        <w:tc>
          <w:tcPr>
            <w:tcW w:w="2977" w:type="dxa"/>
          </w:tcPr>
          <w:p w:rsidR="00640204" w:rsidRDefault="00640204" w:rsidP="00640204">
            <w:pPr>
              <w:pStyle w:val="BodyText"/>
              <w:spacing w:before="60" w:after="60"/>
              <w:jc w:val="left"/>
            </w:pPr>
            <w:r>
              <w:t>Review approach to publication of gas composition data in the GTAC and Schedule 2</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640204">
            <w:pPr>
              <w:pStyle w:val="BodyText"/>
              <w:spacing w:before="60" w:after="60"/>
              <w:jc w:val="left"/>
            </w:pPr>
            <w:r>
              <w:t>Section 5.9 of the GTAC now requires First Gas to provide the gas composition data currently published each Business Day on OATIS</w:t>
            </w:r>
          </w:p>
        </w:tc>
      </w:tr>
      <w:tr w:rsidR="00640204" w:rsidTr="0068672D">
        <w:tc>
          <w:tcPr>
            <w:tcW w:w="562" w:type="dxa"/>
          </w:tcPr>
          <w:p w:rsidR="00640204" w:rsidRDefault="00640204" w:rsidP="00640204">
            <w:pPr>
              <w:pStyle w:val="BodyText"/>
              <w:spacing w:before="60" w:after="60"/>
              <w:jc w:val="center"/>
            </w:pPr>
            <w:r>
              <w:t>4</w:t>
            </w:r>
          </w:p>
        </w:tc>
        <w:tc>
          <w:tcPr>
            <w:tcW w:w="2977" w:type="dxa"/>
          </w:tcPr>
          <w:p w:rsidR="00640204" w:rsidRDefault="00640204" w:rsidP="00640204">
            <w:pPr>
              <w:pStyle w:val="BodyText"/>
              <w:spacing w:before="60" w:after="60"/>
              <w:jc w:val="left"/>
            </w:pPr>
            <w:r>
              <w:t>Populate and release Schedule 2 of the GTAC</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640204">
            <w:pPr>
              <w:pStyle w:val="BodyText"/>
              <w:spacing w:before="60" w:after="60"/>
              <w:jc w:val="left"/>
            </w:pPr>
            <w:r>
              <w:t>Schedule 2 published on GIC website</w:t>
            </w:r>
            <w:r w:rsidR="00A43205">
              <w:t xml:space="preserve"> and included in revised draft GTAC</w:t>
            </w:r>
          </w:p>
        </w:tc>
      </w:tr>
      <w:tr w:rsidR="00640204" w:rsidTr="0068672D">
        <w:tc>
          <w:tcPr>
            <w:tcW w:w="562" w:type="dxa"/>
          </w:tcPr>
          <w:p w:rsidR="00640204" w:rsidRDefault="00640204" w:rsidP="00640204">
            <w:pPr>
              <w:pStyle w:val="BodyText"/>
              <w:spacing w:before="60" w:after="60"/>
              <w:jc w:val="center"/>
            </w:pPr>
            <w:r>
              <w:t>5</w:t>
            </w:r>
          </w:p>
        </w:tc>
        <w:tc>
          <w:tcPr>
            <w:tcW w:w="2977" w:type="dxa"/>
          </w:tcPr>
          <w:p w:rsidR="00640204" w:rsidRDefault="00640204" w:rsidP="00640204">
            <w:pPr>
              <w:pStyle w:val="BodyText"/>
              <w:spacing w:before="60" w:after="60"/>
              <w:jc w:val="left"/>
            </w:pPr>
            <w:r>
              <w:t>Provide a worked example of the Difficult Day concept specified in section 8 of the GTAC</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640204">
            <w:pPr>
              <w:pStyle w:val="BodyText"/>
              <w:spacing w:before="60" w:after="60"/>
              <w:jc w:val="left"/>
            </w:pPr>
            <w:r>
              <w:t xml:space="preserve">A worked example will be provided and discussed at workshop on 15 September </w:t>
            </w:r>
          </w:p>
        </w:tc>
      </w:tr>
    </w:tbl>
    <w:p w:rsidR="009575B4" w:rsidRPr="009575B4" w:rsidRDefault="009575B4" w:rsidP="009575B4">
      <w:pPr>
        <w:pStyle w:val="BodyText"/>
      </w:pPr>
    </w:p>
    <w:p w:rsidR="00580568" w:rsidRPr="008D1F6B" w:rsidRDefault="009575B4" w:rsidP="009575B4">
      <w:pPr>
        <w:rPr>
          <w:b/>
        </w:rPr>
      </w:pPr>
      <w:r w:rsidRPr="008D1F6B">
        <w:rPr>
          <w:b/>
        </w:rPr>
        <w:t xml:space="preserve">Actions from </w:t>
      </w:r>
      <w:r w:rsidR="008D1F6B" w:rsidRPr="008D1F6B">
        <w:rPr>
          <w:b/>
        </w:rPr>
        <w:t xml:space="preserve">Thursday-Friday, </w:t>
      </w:r>
      <w:r w:rsidRPr="008D1F6B">
        <w:rPr>
          <w:b/>
        </w:rPr>
        <w:t>24-2</w:t>
      </w:r>
      <w:r w:rsidR="008D1F6B" w:rsidRPr="008D1F6B">
        <w:rPr>
          <w:b/>
        </w:rPr>
        <w:t>5</w:t>
      </w:r>
      <w:r w:rsidRPr="008D1F6B">
        <w:rPr>
          <w:b/>
        </w:rPr>
        <w:t xml:space="preserve"> August</w:t>
      </w:r>
      <w:r w:rsidR="008D1F6B" w:rsidRPr="008D1F6B">
        <w:rPr>
          <w:b/>
        </w:rPr>
        <w:t xml:space="preserve"> 2017</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2977"/>
        <w:gridCol w:w="1701"/>
        <w:gridCol w:w="3969"/>
      </w:tblGrid>
      <w:tr w:rsidR="0068672D" w:rsidRPr="009575B4" w:rsidTr="00533B6A">
        <w:trPr>
          <w:cantSplit/>
          <w:tblHeader/>
        </w:trPr>
        <w:tc>
          <w:tcPr>
            <w:tcW w:w="562" w:type="dxa"/>
            <w:shd w:val="clear" w:color="auto" w:fill="DEEAF6" w:themeFill="accent1" w:themeFillTint="33"/>
          </w:tcPr>
          <w:p w:rsidR="0068672D" w:rsidRPr="009575B4" w:rsidRDefault="0068672D" w:rsidP="00533B6A">
            <w:pPr>
              <w:pStyle w:val="BodyText"/>
              <w:spacing w:before="60" w:after="60"/>
              <w:jc w:val="center"/>
              <w:rPr>
                <w:b/>
              </w:rPr>
            </w:pPr>
            <w:r w:rsidRPr="009575B4">
              <w:rPr>
                <w:b/>
              </w:rPr>
              <w:t>#</w:t>
            </w:r>
          </w:p>
        </w:tc>
        <w:tc>
          <w:tcPr>
            <w:tcW w:w="2977" w:type="dxa"/>
            <w:shd w:val="clear" w:color="auto" w:fill="DEEAF6" w:themeFill="accent1" w:themeFillTint="33"/>
          </w:tcPr>
          <w:p w:rsidR="0068672D" w:rsidRPr="009575B4" w:rsidRDefault="0068672D" w:rsidP="00533B6A">
            <w:pPr>
              <w:pStyle w:val="BodyText"/>
              <w:spacing w:before="60" w:after="60"/>
              <w:jc w:val="left"/>
              <w:rPr>
                <w:b/>
              </w:rPr>
            </w:pPr>
            <w:r w:rsidRPr="009575B4">
              <w:rPr>
                <w:b/>
              </w:rPr>
              <w:t>Item</w:t>
            </w:r>
          </w:p>
        </w:tc>
        <w:tc>
          <w:tcPr>
            <w:tcW w:w="1701" w:type="dxa"/>
            <w:shd w:val="clear" w:color="auto" w:fill="DEEAF6" w:themeFill="accent1" w:themeFillTint="33"/>
          </w:tcPr>
          <w:p w:rsidR="0068672D" w:rsidRPr="009575B4" w:rsidRDefault="0068672D" w:rsidP="00533B6A">
            <w:pPr>
              <w:pStyle w:val="BodyText"/>
              <w:spacing w:before="60" w:after="60"/>
              <w:rPr>
                <w:b/>
              </w:rPr>
            </w:pPr>
            <w:r w:rsidRPr="009575B4">
              <w:rPr>
                <w:b/>
              </w:rPr>
              <w:t>Responsibility</w:t>
            </w:r>
          </w:p>
        </w:tc>
        <w:tc>
          <w:tcPr>
            <w:tcW w:w="3969" w:type="dxa"/>
            <w:shd w:val="clear" w:color="auto" w:fill="DEEAF6" w:themeFill="accent1" w:themeFillTint="33"/>
          </w:tcPr>
          <w:p w:rsidR="0068672D" w:rsidRPr="009575B4" w:rsidRDefault="008E6611" w:rsidP="00A07DC1">
            <w:pPr>
              <w:pStyle w:val="BodyText"/>
              <w:spacing w:before="60" w:after="60"/>
              <w:jc w:val="left"/>
              <w:rPr>
                <w:b/>
              </w:rPr>
            </w:pPr>
            <w:r>
              <w:rPr>
                <w:b/>
              </w:rPr>
              <w:t>Action Taken</w:t>
            </w:r>
          </w:p>
        </w:tc>
      </w:tr>
      <w:tr w:rsidR="00640204" w:rsidTr="008E6611">
        <w:trPr>
          <w:cantSplit/>
        </w:trPr>
        <w:tc>
          <w:tcPr>
            <w:tcW w:w="562" w:type="dxa"/>
          </w:tcPr>
          <w:p w:rsidR="00640204" w:rsidRDefault="00640204" w:rsidP="00640204">
            <w:pPr>
              <w:pStyle w:val="BodyText"/>
              <w:spacing w:before="60" w:after="60"/>
              <w:jc w:val="center"/>
            </w:pPr>
            <w:r>
              <w:t>6</w:t>
            </w:r>
          </w:p>
        </w:tc>
        <w:tc>
          <w:tcPr>
            <w:tcW w:w="2977" w:type="dxa"/>
          </w:tcPr>
          <w:p w:rsidR="00640204" w:rsidRDefault="00640204" w:rsidP="00640204">
            <w:pPr>
              <w:pStyle w:val="BodyText"/>
              <w:spacing w:before="60" w:after="60"/>
              <w:jc w:val="left"/>
            </w:pPr>
            <w:r>
              <w:t>Revisit whether project will achieve objectives and whether additional steps (e.g. cross submissions) would be useful</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A07DC1">
            <w:pPr>
              <w:pStyle w:val="BodyText"/>
              <w:spacing w:before="60" w:after="60"/>
              <w:jc w:val="left"/>
            </w:pPr>
            <w:r>
              <w:t>Updated process for revised dr</w:t>
            </w:r>
            <w:r w:rsidR="00A43205">
              <w:t>aft GTAC released following 31 August</w:t>
            </w:r>
            <w:r>
              <w:t xml:space="preserve"> teleconference</w:t>
            </w:r>
            <w:r w:rsidR="00A43205">
              <w:t>, providing option for cross-submissions (to be discussed at workshop on 15 September)</w:t>
            </w:r>
          </w:p>
        </w:tc>
      </w:tr>
      <w:tr w:rsidR="00640204" w:rsidTr="008E6611">
        <w:trPr>
          <w:cantSplit/>
        </w:trPr>
        <w:tc>
          <w:tcPr>
            <w:tcW w:w="562" w:type="dxa"/>
          </w:tcPr>
          <w:p w:rsidR="00640204" w:rsidRDefault="00640204" w:rsidP="00640204">
            <w:pPr>
              <w:pStyle w:val="BodyText"/>
              <w:spacing w:before="60" w:after="60"/>
              <w:jc w:val="center"/>
            </w:pPr>
            <w:r>
              <w:lastRenderedPageBreak/>
              <w:t>7</w:t>
            </w:r>
          </w:p>
        </w:tc>
        <w:tc>
          <w:tcPr>
            <w:tcW w:w="2977" w:type="dxa"/>
          </w:tcPr>
          <w:p w:rsidR="00640204" w:rsidRDefault="00640204" w:rsidP="00640204">
            <w:pPr>
              <w:pStyle w:val="BodyText"/>
              <w:spacing w:before="60" w:after="60"/>
              <w:jc w:val="left"/>
            </w:pPr>
            <w:r>
              <w:t>Include both allocative and dynamic efficiencies in assessment of costs and benefits of GTAC</w:t>
            </w:r>
          </w:p>
        </w:tc>
        <w:tc>
          <w:tcPr>
            <w:tcW w:w="1701" w:type="dxa"/>
          </w:tcPr>
          <w:p w:rsidR="00640204" w:rsidRDefault="00640204" w:rsidP="00640204">
            <w:pPr>
              <w:pStyle w:val="BodyText"/>
              <w:spacing w:before="60" w:after="60"/>
            </w:pPr>
            <w:r>
              <w:t xml:space="preserve">First Gas / GIC </w:t>
            </w:r>
          </w:p>
        </w:tc>
        <w:tc>
          <w:tcPr>
            <w:tcW w:w="3969" w:type="dxa"/>
          </w:tcPr>
          <w:p w:rsidR="00640204" w:rsidRDefault="00640204" w:rsidP="00A07DC1">
            <w:pPr>
              <w:pStyle w:val="BodyText"/>
              <w:spacing w:before="60" w:after="60"/>
              <w:jc w:val="left"/>
            </w:pPr>
            <w:r>
              <w:t>Will be covered by assessment of GTAC costs and benefits when submitted to GIC for review</w:t>
            </w:r>
            <w:r w:rsidR="00A43205">
              <w:t xml:space="preserve"> (and as part of GIC review)</w:t>
            </w:r>
          </w:p>
        </w:tc>
      </w:tr>
      <w:tr w:rsidR="00640204" w:rsidTr="008E6611">
        <w:trPr>
          <w:cantSplit/>
        </w:trPr>
        <w:tc>
          <w:tcPr>
            <w:tcW w:w="562" w:type="dxa"/>
          </w:tcPr>
          <w:p w:rsidR="00640204" w:rsidRDefault="00640204" w:rsidP="00640204">
            <w:pPr>
              <w:pStyle w:val="BodyText"/>
              <w:spacing w:before="60" w:after="60"/>
              <w:jc w:val="center"/>
            </w:pPr>
            <w:r>
              <w:t>8</w:t>
            </w:r>
          </w:p>
        </w:tc>
        <w:tc>
          <w:tcPr>
            <w:tcW w:w="2977" w:type="dxa"/>
          </w:tcPr>
          <w:p w:rsidR="00640204" w:rsidRDefault="00640204" w:rsidP="00640204">
            <w:pPr>
              <w:pStyle w:val="BodyText"/>
              <w:spacing w:before="60" w:after="60"/>
              <w:jc w:val="left"/>
            </w:pPr>
            <w:r>
              <w:t>Review pricing information discussed on 24 August and provide examples where changes may lead to price shock</w:t>
            </w:r>
          </w:p>
        </w:tc>
        <w:tc>
          <w:tcPr>
            <w:tcW w:w="1701" w:type="dxa"/>
          </w:tcPr>
          <w:p w:rsidR="00640204" w:rsidRDefault="00640204" w:rsidP="00640204">
            <w:pPr>
              <w:pStyle w:val="BodyText"/>
              <w:spacing w:before="60" w:after="60"/>
            </w:pPr>
            <w:r>
              <w:t xml:space="preserve">Shippers/end users </w:t>
            </w:r>
          </w:p>
        </w:tc>
        <w:tc>
          <w:tcPr>
            <w:tcW w:w="3969" w:type="dxa"/>
          </w:tcPr>
          <w:p w:rsidR="00640204" w:rsidRDefault="00640204" w:rsidP="00A07DC1">
            <w:pPr>
              <w:pStyle w:val="BodyText"/>
              <w:spacing w:before="60" w:after="60"/>
              <w:jc w:val="left"/>
            </w:pPr>
            <w:r>
              <w:t>Several parties have provided a summary of price impacts to First Gas</w:t>
            </w:r>
            <w:r w:rsidR="00A43205">
              <w:t>. Examples generally support expected price changes in moving away from capacity reservations</w:t>
            </w:r>
            <w:r>
              <w:t xml:space="preserve"> </w:t>
            </w:r>
            <w:r w:rsidR="00A43205">
              <w:t>system</w:t>
            </w:r>
          </w:p>
        </w:tc>
      </w:tr>
      <w:tr w:rsidR="00640204" w:rsidTr="008E6611">
        <w:trPr>
          <w:cantSplit/>
        </w:trPr>
        <w:tc>
          <w:tcPr>
            <w:tcW w:w="562" w:type="dxa"/>
          </w:tcPr>
          <w:p w:rsidR="00640204" w:rsidRDefault="00640204" w:rsidP="00640204">
            <w:pPr>
              <w:pStyle w:val="BodyText"/>
              <w:spacing w:before="60" w:after="60"/>
              <w:jc w:val="center"/>
            </w:pPr>
            <w:r>
              <w:t>9</w:t>
            </w:r>
          </w:p>
        </w:tc>
        <w:tc>
          <w:tcPr>
            <w:tcW w:w="2977" w:type="dxa"/>
          </w:tcPr>
          <w:p w:rsidR="00640204" w:rsidRDefault="00640204" w:rsidP="00640204">
            <w:pPr>
              <w:pStyle w:val="BodyText"/>
              <w:spacing w:before="60" w:after="60"/>
              <w:jc w:val="left"/>
            </w:pPr>
            <w:r>
              <w:t>Update pricing information to use 2017/18 VTC prices when released at end of August 2017</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A07DC1">
            <w:pPr>
              <w:pStyle w:val="BodyText"/>
              <w:spacing w:before="60" w:after="60"/>
              <w:jc w:val="left"/>
            </w:pPr>
            <w:r>
              <w:t xml:space="preserve">An updated version of </w:t>
            </w:r>
            <w:r w:rsidR="003671D9">
              <w:t xml:space="preserve">illustrative pricing impacts has been provided in presentation </w:t>
            </w:r>
            <w:r w:rsidR="00A43205">
              <w:t>that accompanies</w:t>
            </w:r>
            <w:r w:rsidR="003671D9">
              <w:t xml:space="preserve"> the revised draft GTAC</w:t>
            </w:r>
            <w:r w:rsidR="00A43205">
              <w:t xml:space="preserve"> release</w:t>
            </w:r>
          </w:p>
        </w:tc>
      </w:tr>
      <w:tr w:rsidR="00640204" w:rsidTr="008E6611">
        <w:trPr>
          <w:cantSplit/>
        </w:trPr>
        <w:tc>
          <w:tcPr>
            <w:tcW w:w="562" w:type="dxa"/>
          </w:tcPr>
          <w:p w:rsidR="00640204" w:rsidRDefault="00640204" w:rsidP="00640204">
            <w:pPr>
              <w:pStyle w:val="BodyText"/>
              <w:spacing w:before="60" w:after="60"/>
              <w:jc w:val="center"/>
            </w:pPr>
            <w:r>
              <w:t>10</w:t>
            </w:r>
          </w:p>
        </w:tc>
        <w:tc>
          <w:tcPr>
            <w:tcW w:w="2977" w:type="dxa"/>
          </w:tcPr>
          <w:p w:rsidR="00640204" w:rsidRDefault="00640204" w:rsidP="00640204">
            <w:pPr>
              <w:pStyle w:val="BodyText"/>
              <w:spacing w:before="60" w:after="60"/>
              <w:jc w:val="left"/>
            </w:pPr>
            <w:r>
              <w:t>Consider principles around final Priority Rights design, including these in the GTAC, and the link to investment under Part 4 regime</w:t>
            </w:r>
          </w:p>
        </w:tc>
        <w:tc>
          <w:tcPr>
            <w:tcW w:w="1701" w:type="dxa"/>
          </w:tcPr>
          <w:p w:rsidR="00640204" w:rsidRDefault="00640204" w:rsidP="00640204">
            <w:pPr>
              <w:pStyle w:val="BodyText"/>
              <w:spacing w:before="60" w:after="60"/>
            </w:pPr>
            <w:r>
              <w:t>First Gas</w:t>
            </w:r>
          </w:p>
        </w:tc>
        <w:tc>
          <w:tcPr>
            <w:tcW w:w="3969" w:type="dxa"/>
          </w:tcPr>
          <w:p w:rsidR="00640204" w:rsidRDefault="00640204" w:rsidP="00A07DC1">
            <w:pPr>
              <w:pStyle w:val="BodyText"/>
              <w:spacing w:before="60" w:after="60"/>
              <w:jc w:val="left"/>
            </w:pPr>
            <w:r>
              <w:t xml:space="preserve">PR </w:t>
            </w:r>
            <w:r w:rsidR="00A43205">
              <w:t xml:space="preserve">provisions in the GTAC have been reviewed, and PR </w:t>
            </w:r>
            <w:r>
              <w:t>auction rules will be developed in conjunction with shippers in a way that</w:t>
            </w:r>
            <w:r w:rsidR="003671D9">
              <w:t xml:space="preserve"> best achieves the purpose of PRs (to signal the value of transmission capacity when it becomes scarce)</w:t>
            </w:r>
          </w:p>
        </w:tc>
      </w:tr>
      <w:tr w:rsidR="00640204" w:rsidTr="008E6611">
        <w:trPr>
          <w:cantSplit/>
        </w:trPr>
        <w:tc>
          <w:tcPr>
            <w:tcW w:w="562" w:type="dxa"/>
          </w:tcPr>
          <w:p w:rsidR="00640204" w:rsidRDefault="00640204" w:rsidP="00640204">
            <w:pPr>
              <w:pStyle w:val="BodyText"/>
              <w:spacing w:before="60" w:after="60"/>
              <w:jc w:val="center"/>
            </w:pPr>
            <w:r>
              <w:t>11</w:t>
            </w:r>
          </w:p>
        </w:tc>
        <w:tc>
          <w:tcPr>
            <w:tcW w:w="2977" w:type="dxa"/>
          </w:tcPr>
          <w:p w:rsidR="00640204" w:rsidRDefault="00640204" w:rsidP="00640204">
            <w:pPr>
              <w:pStyle w:val="BodyText"/>
              <w:spacing w:before="60" w:after="60"/>
              <w:jc w:val="left"/>
            </w:pPr>
            <w:r>
              <w:t xml:space="preserve">Provide further information on physical issues in BOP and reality of congestion at Delivery Points in that area (Tauranga, Mt </w:t>
            </w:r>
            <w:proofErr w:type="spellStart"/>
            <w:r>
              <w:t>Maunganui</w:t>
            </w:r>
            <w:proofErr w:type="spellEnd"/>
            <w:r>
              <w:t>)</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A07DC1">
            <w:pPr>
              <w:pStyle w:val="BodyText"/>
              <w:spacing w:before="60" w:after="60"/>
              <w:jc w:val="left"/>
            </w:pPr>
            <w:r>
              <w:t>F</w:t>
            </w:r>
            <w:r w:rsidR="003671D9">
              <w:t xml:space="preserve">urther analysis of supply and demand at Tauranga and Mt </w:t>
            </w:r>
            <w:proofErr w:type="spellStart"/>
            <w:r w:rsidR="003671D9">
              <w:t>Maunganui</w:t>
            </w:r>
            <w:proofErr w:type="spellEnd"/>
            <w:r w:rsidR="003671D9">
              <w:t xml:space="preserve"> indicates that PRs would not initially be required at these locations (</w:t>
            </w:r>
            <w:r>
              <w:t xml:space="preserve">i.e. there is </w:t>
            </w:r>
            <w:r w:rsidR="003671D9">
              <w:t xml:space="preserve">currently sufficient </w:t>
            </w:r>
            <w:r>
              <w:t>“Uncommitted Operational Capacity” (</w:t>
            </w:r>
            <w:r w:rsidRPr="0096735A">
              <w:rPr>
                <w:i/>
              </w:rPr>
              <w:t>UOC</w:t>
            </w:r>
            <w:r>
              <w:t xml:space="preserve">) </w:t>
            </w:r>
            <w:r w:rsidR="003671D9">
              <w:t xml:space="preserve">at </w:t>
            </w:r>
            <w:r>
              <w:t>both locations</w:t>
            </w:r>
            <w:r w:rsidR="003671D9">
              <w:t xml:space="preserve"> </w:t>
            </w:r>
            <w:r w:rsidR="00A43205">
              <w:t xml:space="preserve">to ensure </w:t>
            </w:r>
            <w:r w:rsidR="003671D9">
              <w:t xml:space="preserve">that they do not </w:t>
            </w:r>
            <w:r w:rsidR="00A43205">
              <w:t xml:space="preserve">currently </w:t>
            </w:r>
            <w:r w:rsidR="003671D9">
              <w:t>meet the definition of Congestion Delivery Point(s)</w:t>
            </w:r>
            <w:r w:rsidR="00A43205">
              <w:t xml:space="preserve"> under the GTAC</w:t>
            </w:r>
            <w:r w:rsidR="003671D9">
              <w:t>)</w:t>
            </w:r>
            <w:r>
              <w:t xml:space="preserve">  </w:t>
            </w:r>
          </w:p>
          <w:p w:rsidR="00640204" w:rsidRDefault="003671D9" w:rsidP="00A07DC1">
            <w:pPr>
              <w:pStyle w:val="BodyText"/>
              <w:spacing w:before="60" w:after="60"/>
              <w:jc w:val="left"/>
            </w:pPr>
            <w:r>
              <w:t xml:space="preserve">The </w:t>
            </w:r>
            <w:r w:rsidR="00A43205">
              <w:t>modelling</w:t>
            </w:r>
            <w:r>
              <w:t xml:space="preserve"> of </w:t>
            </w:r>
            <w:r w:rsidR="00A07DC1">
              <w:t xml:space="preserve">uncommitted operational capacity </w:t>
            </w:r>
            <w:r w:rsidR="00640204">
              <w:t xml:space="preserve">at Delivery Points (and the </w:t>
            </w:r>
            <w:r>
              <w:t xml:space="preserve">fact that </w:t>
            </w:r>
            <w:r w:rsidR="00640204">
              <w:t xml:space="preserve">it can be affected by changes in load elsewhere) </w:t>
            </w:r>
            <w:r>
              <w:t xml:space="preserve">means that </w:t>
            </w:r>
            <w:r w:rsidR="00640204">
              <w:t>this situation could change</w:t>
            </w:r>
            <w:r w:rsidR="00A43205">
              <w:t xml:space="preserve">. The GTAC requires First Gas to assess </w:t>
            </w:r>
            <w:r w:rsidR="00A07DC1">
              <w:t>uncommitted operational capacity</w:t>
            </w:r>
            <w:r w:rsidR="00640204">
              <w:t xml:space="preserve"> </w:t>
            </w:r>
            <w:r w:rsidR="00A07DC1">
              <w:t xml:space="preserve">in determining whether to offer PRs, so the situation at Tauranga and Mt </w:t>
            </w:r>
            <w:proofErr w:type="spellStart"/>
            <w:r w:rsidR="00A07DC1">
              <w:t>Maunganui</w:t>
            </w:r>
            <w:proofErr w:type="spellEnd"/>
            <w:r w:rsidR="00A07DC1">
              <w:t xml:space="preserve"> (and other locations) will continue to be monitored</w:t>
            </w:r>
          </w:p>
        </w:tc>
      </w:tr>
      <w:tr w:rsidR="00640204" w:rsidTr="008E6611">
        <w:trPr>
          <w:cantSplit/>
        </w:trPr>
        <w:tc>
          <w:tcPr>
            <w:tcW w:w="562" w:type="dxa"/>
          </w:tcPr>
          <w:p w:rsidR="00640204" w:rsidRDefault="00640204" w:rsidP="00640204">
            <w:pPr>
              <w:pStyle w:val="BodyText"/>
              <w:spacing w:before="60" w:after="60"/>
              <w:jc w:val="center"/>
            </w:pPr>
            <w:r>
              <w:t>12</w:t>
            </w:r>
          </w:p>
        </w:tc>
        <w:tc>
          <w:tcPr>
            <w:tcW w:w="2977" w:type="dxa"/>
          </w:tcPr>
          <w:p w:rsidR="00640204" w:rsidRDefault="00640204" w:rsidP="00640204">
            <w:pPr>
              <w:pStyle w:val="BodyText"/>
              <w:spacing w:before="60" w:after="60"/>
              <w:jc w:val="left"/>
            </w:pPr>
            <w:r>
              <w:t>Consider OBA ability to use nominations (re dedicated DPs) to manage Mismatch and Overruns and provide worked example</w:t>
            </w:r>
          </w:p>
        </w:tc>
        <w:tc>
          <w:tcPr>
            <w:tcW w:w="1701" w:type="dxa"/>
          </w:tcPr>
          <w:p w:rsidR="00640204" w:rsidRDefault="00640204" w:rsidP="00640204">
            <w:pPr>
              <w:pStyle w:val="BodyText"/>
              <w:spacing w:before="60" w:after="60"/>
            </w:pPr>
            <w:r>
              <w:t xml:space="preserve">First Gas </w:t>
            </w:r>
          </w:p>
        </w:tc>
        <w:tc>
          <w:tcPr>
            <w:tcW w:w="3969" w:type="dxa"/>
          </w:tcPr>
          <w:p w:rsidR="00640204" w:rsidRDefault="003671D9" w:rsidP="00A07DC1">
            <w:pPr>
              <w:pStyle w:val="BodyText"/>
              <w:spacing w:before="60" w:after="60"/>
              <w:jc w:val="left"/>
            </w:pPr>
            <w:r>
              <w:t>A</w:t>
            </w:r>
            <w:r w:rsidR="00640204">
              <w:t xml:space="preserve">n OBA Party’s Mismatch </w:t>
            </w:r>
            <w:r>
              <w:t xml:space="preserve">is now deemed </w:t>
            </w:r>
            <w:r w:rsidR="00640204">
              <w:t>to reside in the Receipt Zone (see section 8.23). Therefore, an OBA Party will not need to s</w:t>
            </w:r>
            <w:r w:rsidR="00A07DC1">
              <w:t>hip Gas to manage its RM or ERM</w:t>
            </w:r>
          </w:p>
        </w:tc>
      </w:tr>
      <w:tr w:rsidR="00640204" w:rsidTr="008E6611">
        <w:trPr>
          <w:cantSplit/>
        </w:trPr>
        <w:tc>
          <w:tcPr>
            <w:tcW w:w="562" w:type="dxa"/>
          </w:tcPr>
          <w:p w:rsidR="00640204" w:rsidRDefault="00640204" w:rsidP="00640204">
            <w:pPr>
              <w:pStyle w:val="BodyText"/>
              <w:spacing w:before="60" w:after="60"/>
              <w:jc w:val="center"/>
            </w:pPr>
            <w:r>
              <w:lastRenderedPageBreak/>
              <w:t>13</w:t>
            </w:r>
          </w:p>
        </w:tc>
        <w:tc>
          <w:tcPr>
            <w:tcW w:w="2977" w:type="dxa"/>
          </w:tcPr>
          <w:p w:rsidR="00640204" w:rsidRDefault="00640204" w:rsidP="00640204">
            <w:pPr>
              <w:pStyle w:val="BodyText"/>
              <w:spacing w:before="60" w:after="60"/>
              <w:jc w:val="left"/>
            </w:pPr>
            <w:r>
              <w:t>Consider Priority Rights to address constraints affecting multiple delivery points</w:t>
            </w:r>
          </w:p>
        </w:tc>
        <w:tc>
          <w:tcPr>
            <w:tcW w:w="1701" w:type="dxa"/>
          </w:tcPr>
          <w:p w:rsidR="00640204" w:rsidRDefault="00640204" w:rsidP="00640204">
            <w:pPr>
              <w:pStyle w:val="BodyText"/>
              <w:spacing w:before="60" w:after="60"/>
            </w:pPr>
            <w:r>
              <w:t>First Gas</w:t>
            </w:r>
          </w:p>
        </w:tc>
        <w:tc>
          <w:tcPr>
            <w:tcW w:w="3969" w:type="dxa"/>
          </w:tcPr>
          <w:p w:rsidR="00640204" w:rsidRDefault="00640204" w:rsidP="00A07DC1">
            <w:pPr>
              <w:pStyle w:val="BodyText"/>
              <w:spacing w:before="60" w:after="60"/>
              <w:jc w:val="left"/>
            </w:pPr>
            <w:r>
              <w:t xml:space="preserve">The definition of “Congestion” and </w:t>
            </w:r>
            <w:r w:rsidR="00A07DC1">
              <w:t xml:space="preserve">the processes set out for PRs in </w:t>
            </w:r>
            <w:r>
              <w:t>section 3</w:t>
            </w:r>
            <w:r w:rsidR="00A07DC1">
              <w:t xml:space="preserve"> of the GTAC</w:t>
            </w:r>
            <w:r>
              <w:t xml:space="preserve"> now reflect the prospect of congestion affecting more than one delivery point. PRs may now appl</w:t>
            </w:r>
            <w:r w:rsidR="00A07DC1">
              <w:t>y to a group of Delivery Points</w:t>
            </w:r>
            <w:r>
              <w:t xml:space="preserve"> </w:t>
            </w:r>
          </w:p>
        </w:tc>
      </w:tr>
      <w:tr w:rsidR="00640204" w:rsidTr="008E6611">
        <w:trPr>
          <w:cantSplit/>
        </w:trPr>
        <w:tc>
          <w:tcPr>
            <w:tcW w:w="562" w:type="dxa"/>
          </w:tcPr>
          <w:p w:rsidR="00640204" w:rsidRDefault="00640204" w:rsidP="00640204">
            <w:pPr>
              <w:pStyle w:val="BodyText"/>
              <w:spacing w:before="60" w:after="60"/>
              <w:jc w:val="center"/>
            </w:pPr>
            <w:r>
              <w:t>14</w:t>
            </w:r>
          </w:p>
        </w:tc>
        <w:tc>
          <w:tcPr>
            <w:tcW w:w="2977" w:type="dxa"/>
          </w:tcPr>
          <w:p w:rsidR="00640204" w:rsidRDefault="00640204" w:rsidP="00640204">
            <w:pPr>
              <w:pStyle w:val="BodyText"/>
              <w:spacing w:before="60" w:after="60"/>
              <w:jc w:val="left"/>
            </w:pPr>
            <w:r>
              <w:t>Address intra-day nomination issues and ranking of PRs relative to approved nominations from previous cycles</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A07DC1">
            <w:pPr>
              <w:pStyle w:val="BodyText"/>
              <w:spacing w:before="60" w:after="60"/>
              <w:jc w:val="left"/>
            </w:pPr>
            <w:r>
              <w:t>No change has been made to the provision</w:t>
            </w:r>
            <w:r w:rsidR="00A07DC1">
              <w:t>s</w:t>
            </w:r>
            <w:r>
              <w:t xml:space="preserve"> of the 10 August draft GTAC, which </w:t>
            </w:r>
            <w:r w:rsidR="00A07DC1">
              <w:t xml:space="preserve">stipulates </w:t>
            </w:r>
            <w:r>
              <w:t>(</w:t>
            </w:r>
            <w:r w:rsidR="00A07DC1">
              <w:t xml:space="preserve">in </w:t>
            </w:r>
            <w:r>
              <w:t xml:space="preserve">s4.19) that Changed Provisional NQs (except to the extent they are reduced in an Intra-Day Cycle) will have precedence over any Intra-Day NQ seeking increased DNC where </w:t>
            </w:r>
            <w:r w:rsidR="00A07DC1">
              <w:t>capacity is short (s4.20)</w:t>
            </w:r>
          </w:p>
          <w:p w:rsidR="00640204" w:rsidRDefault="00640204" w:rsidP="00A07DC1">
            <w:pPr>
              <w:pStyle w:val="BodyText"/>
              <w:spacing w:before="60" w:after="60"/>
              <w:jc w:val="left"/>
            </w:pPr>
            <w:r>
              <w:t xml:space="preserve">Effectively this means that a Shipper must decide the Day before </w:t>
            </w:r>
            <w:r w:rsidR="00A07DC1">
              <w:t xml:space="preserve">flowing gas </w:t>
            </w:r>
            <w:r>
              <w:t xml:space="preserve">how many of its </w:t>
            </w:r>
            <w:r w:rsidR="00A07DC1">
              <w:t>PRs it will “exercise” on a Day</w:t>
            </w:r>
            <w:r>
              <w:t xml:space="preserve"> </w:t>
            </w:r>
          </w:p>
        </w:tc>
      </w:tr>
      <w:tr w:rsidR="00640204" w:rsidTr="008E6611">
        <w:trPr>
          <w:cantSplit/>
        </w:trPr>
        <w:tc>
          <w:tcPr>
            <w:tcW w:w="562" w:type="dxa"/>
          </w:tcPr>
          <w:p w:rsidR="00640204" w:rsidRDefault="00640204" w:rsidP="00640204">
            <w:pPr>
              <w:pStyle w:val="BodyText"/>
              <w:spacing w:before="60" w:after="60"/>
              <w:jc w:val="center"/>
            </w:pPr>
            <w:r>
              <w:t>15</w:t>
            </w:r>
          </w:p>
        </w:tc>
        <w:tc>
          <w:tcPr>
            <w:tcW w:w="2977" w:type="dxa"/>
          </w:tcPr>
          <w:p w:rsidR="00640204" w:rsidRDefault="00640204" w:rsidP="00640204">
            <w:pPr>
              <w:pStyle w:val="BodyText"/>
              <w:spacing w:before="60" w:after="60"/>
              <w:jc w:val="left"/>
            </w:pPr>
            <w:r>
              <w:t>Develop work plan for auction bidding rules and look to release as soon as possible</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A07DC1">
            <w:pPr>
              <w:pStyle w:val="BodyText"/>
              <w:spacing w:before="60" w:after="60"/>
              <w:jc w:val="left"/>
            </w:pPr>
            <w:r>
              <w:t>Work plan for PR auction rules a</w:t>
            </w:r>
            <w:r w:rsidR="00A07DC1">
              <w:t>dvised on teleconference on 31 August</w:t>
            </w:r>
          </w:p>
        </w:tc>
      </w:tr>
      <w:tr w:rsidR="00640204" w:rsidTr="008E6611">
        <w:trPr>
          <w:cantSplit/>
        </w:trPr>
        <w:tc>
          <w:tcPr>
            <w:tcW w:w="562" w:type="dxa"/>
          </w:tcPr>
          <w:p w:rsidR="00640204" w:rsidRDefault="00640204" w:rsidP="00640204">
            <w:pPr>
              <w:pStyle w:val="BodyText"/>
              <w:spacing w:before="60" w:after="60"/>
              <w:jc w:val="center"/>
            </w:pPr>
            <w:r>
              <w:t>16</w:t>
            </w:r>
          </w:p>
        </w:tc>
        <w:tc>
          <w:tcPr>
            <w:tcW w:w="2977" w:type="dxa"/>
          </w:tcPr>
          <w:p w:rsidR="00640204" w:rsidRDefault="00640204" w:rsidP="00640204">
            <w:pPr>
              <w:pStyle w:val="BodyText"/>
              <w:spacing w:before="60" w:after="60"/>
              <w:jc w:val="left"/>
            </w:pPr>
            <w:r>
              <w:t>Incorporate principles for auction rules in GTAC (see also item 9)</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A07DC1">
            <w:pPr>
              <w:pStyle w:val="BodyText"/>
              <w:spacing w:before="60" w:after="60"/>
              <w:jc w:val="left"/>
            </w:pPr>
            <w:r>
              <w:t>See response to item 9 above</w:t>
            </w:r>
          </w:p>
        </w:tc>
      </w:tr>
      <w:tr w:rsidR="00640204" w:rsidTr="008E6611">
        <w:trPr>
          <w:cantSplit/>
        </w:trPr>
        <w:tc>
          <w:tcPr>
            <w:tcW w:w="562" w:type="dxa"/>
          </w:tcPr>
          <w:p w:rsidR="00640204" w:rsidRDefault="00640204" w:rsidP="00640204">
            <w:pPr>
              <w:pStyle w:val="BodyText"/>
              <w:spacing w:before="60" w:after="60"/>
              <w:jc w:val="center"/>
            </w:pPr>
            <w:r>
              <w:t>17</w:t>
            </w:r>
          </w:p>
        </w:tc>
        <w:tc>
          <w:tcPr>
            <w:tcW w:w="2977" w:type="dxa"/>
          </w:tcPr>
          <w:p w:rsidR="00640204" w:rsidRDefault="00640204" w:rsidP="00640204">
            <w:pPr>
              <w:pStyle w:val="BodyText"/>
              <w:spacing w:before="60" w:after="60"/>
              <w:jc w:val="left"/>
            </w:pPr>
            <w:r>
              <w:t>Revisit Underrun/Overrun incentives to ensure the right balance between incentives and shipper impacts. Specifically consider magnitude and tolerances</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A07DC1">
            <w:pPr>
              <w:pStyle w:val="BodyText"/>
              <w:spacing w:before="60" w:after="60"/>
              <w:jc w:val="left"/>
            </w:pPr>
            <w:r>
              <w:t xml:space="preserve">Overrun fee </w:t>
            </w:r>
            <w:r w:rsidR="00A07DC1">
              <w:t xml:space="preserve">for DNC </w:t>
            </w:r>
            <w:r>
              <w:t xml:space="preserve">reduced from 5 to 2, and underrun fee reduced from 5 to 1. </w:t>
            </w:r>
            <w:r w:rsidR="00DE2171">
              <w:t>P</w:t>
            </w:r>
            <w:r>
              <w:t xml:space="preserve">otential </w:t>
            </w:r>
            <w:r w:rsidR="00DE2171">
              <w:t xml:space="preserve">added </w:t>
            </w:r>
            <w:r>
              <w:t xml:space="preserve">for these rates to change (upon 6 months’ notice) if </w:t>
            </w:r>
            <w:r w:rsidR="00A07DC1">
              <w:t xml:space="preserve">the </w:t>
            </w:r>
            <w:r>
              <w:t>stated principles are not</w:t>
            </w:r>
            <w:r w:rsidR="00A07DC1">
              <w:t xml:space="preserve"> being achieved</w:t>
            </w:r>
          </w:p>
          <w:p w:rsidR="00640204" w:rsidRDefault="00640204" w:rsidP="00A07DC1">
            <w:pPr>
              <w:pStyle w:val="BodyText"/>
              <w:spacing w:before="60" w:after="60"/>
              <w:jc w:val="left"/>
            </w:pPr>
            <w:r>
              <w:t>Grouping of delivery points into zones reworked to enable further load diversification in managing portfolio of customers (reducing number of zones from 17 to 14 and including most dedicated delivery points in zones)</w:t>
            </w:r>
          </w:p>
        </w:tc>
        <w:bookmarkStart w:id="0" w:name="_GoBack"/>
        <w:bookmarkEnd w:id="0"/>
      </w:tr>
      <w:tr w:rsidR="00640204" w:rsidTr="008E6611">
        <w:trPr>
          <w:cantSplit/>
        </w:trPr>
        <w:tc>
          <w:tcPr>
            <w:tcW w:w="562" w:type="dxa"/>
          </w:tcPr>
          <w:p w:rsidR="00640204" w:rsidRDefault="00640204" w:rsidP="00640204">
            <w:pPr>
              <w:pStyle w:val="BodyText"/>
              <w:spacing w:before="60" w:after="60"/>
              <w:jc w:val="center"/>
            </w:pPr>
            <w:r>
              <w:t>18</w:t>
            </w:r>
          </w:p>
        </w:tc>
        <w:tc>
          <w:tcPr>
            <w:tcW w:w="2977" w:type="dxa"/>
          </w:tcPr>
          <w:p w:rsidR="00640204" w:rsidRDefault="00640204" w:rsidP="00640204">
            <w:pPr>
              <w:pStyle w:val="BodyText"/>
              <w:spacing w:before="60" w:after="60"/>
              <w:jc w:val="left"/>
            </w:pPr>
            <w:r>
              <w:t>Provide a worked example of delinked nominations across a week for an OBA party and a shipper (see also item 11)</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A07DC1">
            <w:pPr>
              <w:pStyle w:val="BodyText"/>
              <w:spacing w:before="60" w:after="60"/>
              <w:jc w:val="left"/>
            </w:pPr>
            <w:r>
              <w:t xml:space="preserve">A worked example will be provided </w:t>
            </w:r>
            <w:r w:rsidR="00DE2171">
              <w:t xml:space="preserve">and discussed </w:t>
            </w:r>
            <w:r>
              <w:t>at workshop</w:t>
            </w:r>
            <w:r w:rsidR="00DE2171">
              <w:t xml:space="preserve"> on 15 September</w:t>
            </w:r>
            <w:r>
              <w:t xml:space="preserve"> </w:t>
            </w:r>
          </w:p>
        </w:tc>
      </w:tr>
      <w:tr w:rsidR="00DE2171" w:rsidTr="008E6611">
        <w:trPr>
          <w:cantSplit/>
        </w:trPr>
        <w:tc>
          <w:tcPr>
            <w:tcW w:w="562" w:type="dxa"/>
          </w:tcPr>
          <w:p w:rsidR="00DE2171" w:rsidRDefault="00DE2171" w:rsidP="00DE2171">
            <w:pPr>
              <w:pStyle w:val="BodyText"/>
              <w:spacing w:before="60" w:after="60"/>
              <w:jc w:val="center"/>
            </w:pPr>
            <w:r>
              <w:t>19</w:t>
            </w:r>
          </w:p>
        </w:tc>
        <w:tc>
          <w:tcPr>
            <w:tcW w:w="2977" w:type="dxa"/>
          </w:tcPr>
          <w:p w:rsidR="00DE2171" w:rsidRDefault="00DE2171" w:rsidP="00DE2171">
            <w:pPr>
              <w:pStyle w:val="BodyText"/>
              <w:spacing w:before="60" w:after="60"/>
              <w:jc w:val="left"/>
            </w:pPr>
            <w:r>
              <w:t>Provide a worked example of a congested delivery point: 6 months ahead, day ahead and on the day</w:t>
            </w:r>
          </w:p>
        </w:tc>
        <w:tc>
          <w:tcPr>
            <w:tcW w:w="1701" w:type="dxa"/>
          </w:tcPr>
          <w:p w:rsidR="00DE2171" w:rsidRDefault="00DE2171" w:rsidP="00DE2171">
            <w:pPr>
              <w:pStyle w:val="BodyText"/>
              <w:spacing w:before="60" w:after="60"/>
            </w:pPr>
            <w:r>
              <w:t>First Gas</w:t>
            </w:r>
          </w:p>
        </w:tc>
        <w:tc>
          <w:tcPr>
            <w:tcW w:w="3969" w:type="dxa"/>
          </w:tcPr>
          <w:p w:rsidR="00DE2171" w:rsidRDefault="00DE2171" w:rsidP="00A07DC1">
            <w:pPr>
              <w:pStyle w:val="BodyText"/>
              <w:spacing w:before="60" w:after="60"/>
              <w:jc w:val="left"/>
            </w:pPr>
            <w:r>
              <w:t xml:space="preserve">A worked example will be provided and discussed at workshop on 15 September </w:t>
            </w:r>
          </w:p>
        </w:tc>
      </w:tr>
      <w:tr w:rsidR="00DE2171" w:rsidTr="008E6611">
        <w:trPr>
          <w:cantSplit/>
        </w:trPr>
        <w:tc>
          <w:tcPr>
            <w:tcW w:w="562" w:type="dxa"/>
          </w:tcPr>
          <w:p w:rsidR="00DE2171" w:rsidRDefault="00DE2171" w:rsidP="00DE2171">
            <w:pPr>
              <w:pStyle w:val="BodyText"/>
              <w:spacing w:before="60" w:after="60"/>
              <w:jc w:val="center"/>
            </w:pPr>
            <w:r>
              <w:lastRenderedPageBreak/>
              <w:t>20</w:t>
            </w:r>
          </w:p>
        </w:tc>
        <w:tc>
          <w:tcPr>
            <w:tcW w:w="2977" w:type="dxa"/>
          </w:tcPr>
          <w:p w:rsidR="00DE2171" w:rsidRDefault="00DE2171" w:rsidP="00DE2171">
            <w:pPr>
              <w:pStyle w:val="BodyText"/>
              <w:spacing w:before="60" w:after="60"/>
              <w:jc w:val="left"/>
            </w:pPr>
            <w:r>
              <w:t xml:space="preserve">Provide further discussion of operational value of nominations </w:t>
            </w:r>
          </w:p>
        </w:tc>
        <w:tc>
          <w:tcPr>
            <w:tcW w:w="1701" w:type="dxa"/>
          </w:tcPr>
          <w:p w:rsidR="00DE2171" w:rsidRDefault="00DE2171" w:rsidP="00DE2171">
            <w:pPr>
              <w:pStyle w:val="BodyText"/>
              <w:spacing w:before="60" w:after="60"/>
            </w:pPr>
            <w:r>
              <w:t xml:space="preserve">First Gas </w:t>
            </w:r>
          </w:p>
        </w:tc>
        <w:tc>
          <w:tcPr>
            <w:tcW w:w="3969" w:type="dxa"/>
          </w:tcPr>
          <w:p w:rsidR="00DE2171" w:rsidRDefault="00A07DC1" w:rsidP="00A07DC1">
            <w:pPr>
              <w:pStyle w:val="BodyText"/>
              <w:spacing w:before="60" w:after="60"/>
              <w:jc w:val="left"/>
            </w:pPr>
            <w:r>
              <w:t xml:space="preserve">Done. </w:t>
            </w:r>
            <w:r w:rsidR="00DE2171">
              <w:t>See slides from workshop on 24-25 August</w:t>
            </w:r>
          </w:p>
        </w:tc>
      </w:tr>
      <w:tr w:rsidR="00DE2171" w:rsidTr="008E6611">
        <w:trPr>
          <w:cantSplit/>
        </w:trPr>
        <w:tc>
          <w:tcPr>
            <w:tcW w:w="562" w:type="dxa"/>
          </w:tcPr>
          <w:p w:rsidR="00DE2171" w:rsidRDefault="00DE2171" w:rsidP="00DE2171">
            <w:pPr>
              <w:pStyle w:val="BodyText"/>
              <w:spacing w:before="60" w:after="60"/>
              <w:jc w:val="center"/>
            </w:pPr>
            <w:r>
              <w:t>21</w:t>
            </w:r>
          </w:p>
        </w:tc>
        <w:tc>
          <w:tcPr>
            <w:tcW w:w="2977" w:type="dxa"/>
          </w:tcPr>
          <w:p w:rsidR="00DE2171" w:rsidRDefault="00DE2171" w:rsidP="00DE2171">
            <w:pPr>
              <w:pStyle w:val="BodyText"/>
              <w:spacing w:before="60" w:after="60"/>
              <w:jc w:val="left"/>
            </w:pPr>
            <w:r>
              <w:t>Consider integrating small dedicated delivery points into zones</w:t>
            </w:r>
          </w:p>
        </w:tc>
        <w:tc>
          <w:tcPr>
            <w:tcW w:w="1701" w:type="dxa"/>
          </w:tcPr>
          <w:p w:rsidR="00DE2171" w:rsidRDefault="00DE2171" w:rsidP="00DE2171">
            <w:pPr>
              <w:pStyle w:val="BodyText"/>
              <w:spacing w:before="60" w:after="60"/>
            </w:pPr>
            <w:r>
              <w:t xml:space="preserve">First Gas </w:t>
            </w:r>
          </w:p>
        </w:tc>
        <w:tc>
          <w:tcPr>
            <w:tcW w:w="3969" w:type="dxa"/>
          </w:tcPr>
          <w:p w:rsidR="00DE2171" w:rsidRDefault="00DE2171" w:rsidP="00A07DC1">
            <w:pPr>
              <w:pStyle w:val="BodyText"/>
              <w:spacing w:before="60" w:after="60"/>
              <w:jc w:val="left"/>
            </w:pPr>
            <w:r>
              <w:t>As noted in response to item 17, we have now included most dedicated delivery points into zones</w:t>
            </w:r>
          </w:p>
        </w:tc>
      </w:tr>
      <w:tr w:rsidR="00DE2171" w:rsidTr="008E6611">
        <w:trPr>
          <w:cantSplit/>
        </w:trPr>
        <w:tc>
          <w:tcPr>
            <w:tcW w:w="562" w:type="dxa"/>
          </w:tcPr>
          <w:p w:rsidR="00DE2171" w:rsidRDefault="00DE2171" w:rsidP="00DE2171">
            <w:pPr>
              <w:pStyle w:val="BodyText"/>
              <w:spacing w:before="60" w:after="60"/>
              <w:jc w:val="center"/>
            </w:pPr>
            <w:r>
              <w:t>22</w:t>
            </w:r>
          </w:p>
        </w:tc>
        <w:tc>
          <w:tcPr>
            <w:tcW w:w="2977" w:type="dxa"/>
          </w:tcPr>
          <w:p w:rsidR="00DE2171" w:rsidRDefault="00DE2171" w:rsidP="00DE2171">
            <w:pPr>
              <w:pStyle w:val="BodyText"/>
              <w:spacing w:before="60" w:after="60"/>
              <w:jc w:val="left"/>
            </w:pPr>
            <w:r>
              <w:t>MHQ. Look at carving out smaller loads and fixing these to contracted ICA MHQ which would be listed in schedule</w:t>
            </w:r>
          </w:p>
        </w:tc>
        <w:tc>
          <w:tcPr>
            <w:tcW w:w="1701" w:type="dxa"/>
            <w:vMerge w:val="restart"/>
          </w:tcPr>
          <w:p w:rsidR="00DE2171" w:rsidRDefault="00DE2171" w:rsidP="00DE2171">
            <w:pPr>
              <w:pStyle w:val="BodyText"/>
              <w:spacing w:before="60" w:after="60"/>
            </w:pPr>
            <w:r>
              <w:t xml:space="preserve">First Gas </w:t>
            </w:r>
          </w:p>
        </w:tc>
        <w:tc>
          <w:tcPr>
            <w:tcW w:w="3969" w:type="dxa"/>
            <w:vMerge w:val="restart"/>
          </w:tcPr>
          <w:p w:rsidR="00DE2171" w:rsidRDefault="00DE2171" w:rsidP="00A07DC1">
            <w:pPr>
              <w:pStyle w:val="BodyText"/>
              <w:spacing w:before="60" w:after="60"/>
              <w:jc w:val="left"/>
            </w:pPr>
            <w:r>
              <w:t>First Gas will publish</w:t>
            </w:r>
            <w:r w:rsidR="00A07DC1">
              <w:t xml:space="preserve"> DP-specific HQ/DQ ratios which</w:t>
            </w:r>
            <w:r>
              <w:t xml:space="preserve"> will effectively modify the standard ratio for DNC (i.e. where MHQ = 1/16</w:t>
            </w:r>
            <w:r w:rsidRPr="00DE2171">
              <w:rPr>
                <w:vertAlign w:val="superscript"/>
              </w:rPr>
              <w:t>th</w:t>
            </w:r>
            <w:r w:rsidR="00A07DC1">
              <w:t xml:space="preserve"> of MDQ) for Dedicated Delivery Points</w:t>
            </w:r>
          </w:p>
          <w:p w:rsidR="00DE2171" w:rsidRDefault="00DE2171" w:rsidP="00A07DC1">
            <w:pPr>
              <w:pStyle w:val="BodyText"/>
              <w:spacing w:before="60" w:after="60"/>
              <w:jc w:val="left"/>
            </w:pPr>
            <w:r>
              <w:t>The modified MHQ for a Dedicated Delivery Point will be used to assess a Shipper’s liability for Hourly Overrun Charges (</w:t>
            </w:r>
            <w:r w:rsidRPr="00D87DDA">
              <w:rPr>
                <w:i/>
              </w:rPr>
              <w:t>HOC</w:t>
            </w:r>
            <w:r>
              <w:t xml:space="preserve">), </w:t>
            </w:r>
            <w:proofErr w:type="gramStart"/>
            <w:r>
              <w:t>provided that</w:t>
            </w:r>
            <w:proofErr w:type="gramEnd"/>
            <w:r>
              <w:t>:</w:t>
            </w:r>
          </w:p>
          <w:p w:rsidR="00DE2171" w:rsidRDefault="00DE2171" w:rsidP="00A07DC1">
            <w:pPr>
              <w:pStyle w:val="BodyText"/>
              <w:spacing w:before="60" w:after="60"/>
              <w:jc w:val="left"/>
            </w:pPr>
            <w:r>
              <w:t>1. No HOCs will be payable where the maximum HQ on a Day is &lt; 200 GJ (corresponding to the current “Large Station” MHQ); and</w:t>
            </w:r>
          </w:p>
          <w:p w:rsidR="00DE2171" w:rsidRDefault="00DE2171" w:rsidP="00A07DC1">
            <w:pPr>
              <w:pStyle w:val="BodyText"/>
              <w:spacing w:before="60" w:after="60"/>
              <w:jc w:val="left"/>
            </w:pPr>
            <w:r>
              <w:t>2. The Interconnected Party will pay the HOCs where it is an OBA Party.</w:t>
            </w:r>
          </w:p>
          <w:p w:rsidR="00DE2171" w:rsidRDefault="00DE2171" w:rsidP="00A07DC1">
            <w:pPr>
              <w:pStyle w:val="BodyText"/>
              <w:spacing w:before="60" w:after="60"/>
              <w:jc w:val="left"/>
            </w:pPr>
            <w:r>
              <w:t>An Over-Flow Charge has been introduced, payable if a Delivery Point’s physical flow limit is exceeded. This will be payable by the Interconnected Part</w:t>
            </w:r>
            <w:r w:rsidR="00A07DC1">
              <w:t>y at a Dedicated Delivery Point</w:t>
            </w:r>
          </w:p>
        </w:tc>
      </w:tr>
      <w:tr w:rsidR="00DE2171" w:rsidTr="008E6611">
        <w:trPr>
          <w:cantSplit/>
        </w:trPr>
        <w:tc>
          <w:tcPr>
            <w:tcW w:w="562" w:type="dxa"/>
          </w:tcPr>
          <w:p w:rsidR="00DE2171" w:rsidRDefault="00DE2171" w:rsidP="00DE2171">
            <w:pPr>
              <w:pStyle w:val="BodyText"/>
              <w:spacing w:before="60" w:after="60"/>
              <w:jc w:val="center"/>
            </w:pPr>
            <w:r>
              <w:t>23</w:t>
            </w:r>
          </w:p>
        </w:tc>
        <w:tc>
          <w:tcPr>
            <w:tcW w:w="2977" w:type="dxa"/>
          </w:tcPr>
          <w:p w:rsidR="00DE2171" w:rsidRDefault="00DE2171" w:rsidP="00DE2171">
            <w:pPr>
              <w:pStyle w:val="BodyText"/>
              <w:spacing w:before="60" w:after="60"/>
              <w:jc w:val="left"/>
            </w:pPr>
            <w:r>
              <w:t>Review requirements around agreed hourly overruns to ensure that they are useful</w:t>
            </w:r>
          </w:p>
        </w:tc>
        <w:tc>
          <w:tcPr>
            <w:tcW w:w="1701" w:type="dxa"/>
            <w:vMerge/>
          </w:tcPr>
          <w:p w:rsidR="00DE2171" w:rsidRPr="00DE2171" w:rsidRDefault="00DE2171" w:rsidP="00DE2171">
            <w:pPr>
              <w:pStyle w:val="BodyText"/>
              <w:spacing w:before="60" w:after="60"/>
              <w:rPr>
                <w:strike/>
              </w:rPr>
            </w:pPr>
          </w:p>
        </w:tc>
        <w:tc>
          <w:tcPr>
            <w:tcW w:w="3969" w:type="dxa"/>
            <w:vMerge/>
          </w:tcPr>
          <w:p w:rsidR="00DE2171" w:rsidRPr="00DE2171" w:rsidRDefault="00DE2171" w:rsidP="00A07DC1">
            <w:pPr>
              <w:pStyle w:val="BodyText"/>
              <w:spacing w:before="60" w:after="60"/>
              <w:jc w:val="left"/>
              <w:rPr>
                <w:strike/>
              </w:rPr>
            </w:pPr>
          </w:p>
        </w:tc>
      </w:tr>
      <w:tr w:rsidR="00DE2171" w:rsidTr="008E6611">
        <w:trPr>
          <w:cantSplit/>
        </w:trPr>
        <w:tc>
          <w:tcPr>
            <w:tcW w:w="562" w:type="dxa"/>
          </w:tcPr>
          <w:p w:rsidR="00DE2171" w:rsidRDefault="00DE2171" w:rsidP="00DE2171">
            <w:pPr>
              <w:pStyle w:val="BodyText"/>
              <w:spacing w:before="60" w:after="60"/>
              <w:jc w:val="center"/>
            </w:pPr>
            <w:r>
              <w:t>24</w:t>
            </w:r>
          </w:p>
        </w:tc>
        <w:tc>
          <w:tcPr>
            <w:tcW w:w="2977" w:type="dxa"/>
          </w:tcPr>
          <w:p w:rsidR="00DE2171" w:rsidRDefault="00DE2171" w:rsidP="00DE2171">
            <w:pPr>
              <w:pStyle w:val="BodyText"/>
              <w:spacing w:before="60" w:after="60"/>
              <w:jc w:val="left"/>
            </w:pPr>
            <w:r>
              <w:t>Define and give timing for SOP draft and other ancillary documents</w:t>
            </w:r>
          </w:p>
        </w:tc>
        <w:tc>
          <w:tcPr>
            <w:tcW w:w="1701" w:type="dxa"/>
          </w:tcPr>
          <w:p w:rsidR="00DE2171" w:rsidRDefault="00DE2171" w:rsidP="00DE2171">
            <w:pPr>
              <w:pStyle w:val="BodyText"/>
              <w:spacing w:before="60" w:after="60"/>
            </w:pPr>
            <w:r>
              <w:t xml:space="preserve">First Gas </w:t>
            </w:r>
          </w:p>
        </w:tc>
        <w:tc>
          <w:tcPr>
            <w:tcW w:w="3969" w:type="dxa"/>
          </w:tcPr>
          <w:p w:rsidR="00DE2171" w:rsidRDefault="00DE2171" w:rsidP="00A07DC1">
            <w:pPr>
              <w:pStyle w:val="BodyText"/>
              <w:spacing w:before="60" w:after="60"/>
              <w:jc w:val="left"/>
            </w:pPr>
            <w:r>
              <w:t>Process for developing and f</w:t>
            </w:r>
            <w:r w:rsidR="00A07DC1">
              <w:t>inalising SOPs discussed at 31 August</w:t>
            </w:r>
            <w:r>
              <w:t xml:space="preserve"> teleconference </w:t>
            </w:r>
          </w:p>
        </w:tc>
      </w:tr>
      <w:tr w:rsidR="00DE2171" w:rsidTr="008E6611">
        <w:trPr>
          <w:cantSplit/>
        </w:trPr>
        <w:tc>
          <w:tcPr>
            <w:tcW w:w="562" w:type="dxa"/>
          </w:tcPr>
          <w:p w:rsidR="00DE2171" w:rsidRDefault="00DE2171" w:rsidP="00DE2171">
            <w:pPr>
              <w:pStyle w:val="BodyText"/>
              <w:spacing w:before="60" w:after="60"/>
              <w:jc w:val="center"/>
            </w:pPr>
            <w:r>
              <w:t>25</w:t>
            </w:r>
          </w:p>
        </w:tc>
        <w:tc>
          <w:tcPr>
            <w:tcW w:w="2977" w:type="dxa"/>
          </w:tcPr>
          <w:p w:rsidR="00DE2171" w:rsidRDefault="00DE2171" w:rsidP="00DE2171">
            <w:pPr>
              <w:pStyle w:val="BodyText"/>
              <w:spacing w:before="60" w:after="60"/>
              <w:jc w:val="left"/>
            </w:pPr>
            <w:r>
              <w:t>Consider process for changing definition of receipt and delivery zones (sections 3.3 and 3.4), and requiring notice period</w:t>
            </w:r>
          </w:p>
        </w:tc>
        <w:tc>
          <w:tcPr>
            <w:tcW w:w="1701" w:type="dxa"/>
          </w:tcPr>
          <w:p w:rsidR="00DE2171" w:rsidRDefault="00DE2171" w:rsidP="00DE2171">
            <w:pPr>
              <w:pStyle w:val="BodyText"/>
              <w:spacing w:before="60" w:after="60"/>
            </w:pPr>
            <w:r>
              <w:t>First Gas</w:t>
            </w:r>
          </w:p>
        </w:tc>
        <w:tc>
          <w:tcPr>
            <w:tcW w:w="3969" w:type="dxa"/>
          </w:tcPr>
          <w:p w:rsidR="00DE2171" w:rsidRDefault="00DE2171" w:rsidP="00A07DC1">
            <w:pPr>
              <w:pStyle w:val="BodyText"/>
              <w:spacing w:before="60" w:after="60"/>
              <w:jc w:val="left"/>
            </w:pPr>
            <w:r>
              <w:t>First Gas will give not less than 20 Business Days’ before adding a Receipt Point to t</w:t>
            </w:r>
            <w:r w:rsidR="00A07DC1">
              <w:t>he Receipt Zone, or the reverse</w:t>
            </w:r>
            <w:r>
              <w:t xml:space="preserve"> </w:t>
            </w:r>
          </w:p>
          <w:p w:rsidR="00DE2171" w:rsidRDefault="00DE2171" w:rsidP="00A07DC1">
            <w:pPr>
              <w:pStyle w:val="BodyText"/>
              <w:spacing w:before="60" w:after="60"/>
              <w:jc w:val="left"/>
            </w:pPr>
            <w:r>
              <w:t>First Gas will notify Shippers of the Delivery Zones to apply in the following Year</w:t>
            </w:r>
          </w:p>
        </w:tc>
      </w:tr>
      <w:tr w:rsidR="00DE2171" w:rsidTr="008E6611">
        <w:trPr>
          <w:cantSplit/>
        </w:trPr>
        <w:tc>
          <w:tcPr>
            <w:tcW w:w="562" w:type="dxa"/>
          </w:tcPr>
          <w:p w:rsidR="00DE2171" w:rsidRDefault="00DE2171" w:rsidP="00DE2171">
            <w:pPr>
              <w:pStyle w:val="BodyText"/>
              <w:spacing w:before="60" w:after="60"/>
              <w:jc w:val="center"/>
            </w:pPr>
            <w:r>
              <w:lastRenderedPageBreak/>
              <w:t>26</w:t>
            </w:r>
          </w:p>
        </w:tc>
        <w:tc>
          <w:tcPr>
            <w:tcW w:w="2977" w:type="dxa"/>
          </w:tcPr>
          <w:p w:rsidR="00DE2171" w:rsidRDefault="00DE2171" w:rsidP="00DE2171">
            <w:pPr>
              <w:pStyle w:val="BodyText"/>
              <w:spacing w:before="60" w:after="60"/>
              <w:jc w:val="left"/>
            </w:pPr>
            <w:r>
              <w:t>Review status of D+1 agreement under the GTAC. How special allocations will work and how First Gas will use them</w:t>
            </w:r>
          </w:p>
        </w:tc>
        <w:tc>
          <w:tcPr>
            <w:tcW w:w="1701" w:type="dxa"/>
          </w:tcPr>
          <w:p w:rsidR="00DE2171" w:rsidRDefault="00DE2171" w:rsidP="00DE2171">
            <w:pPr>
              <w:pStyle w:val="BodyText"/>
              <w:spacing w:before="60" w:after="60"/>
            </w:pPr>
            <w:r>
              <w:t xml:space="preserve">First Gas </w:t>
            </w:r>
          </w:p>
        </w:tc>
        <w:tc>
          <w:tcPr>
            <w:tcW w:w="3969" w:type="dxa"/>
          </w:tcPr>
          <w:p w:rsidR="00DE2171" w:rsidRPr="00DE2171" w:rsidRDefault="00DE2171" w:rsidP="00A07DC1">
            <w:pPr>
              <w:pStyle w:val="BodyText"/>
              <w:spacing w:before="60" w:after="60"/>
              <w:jc w:val="left"/>
            </w:pPr>
            <w:r w:rsidRPr="00DE2171">
              <w:t>GTAC accepts all allocations for delivery points produced under the DRRs (including Special Allocations)</w:t>
            </w:r>
          </w:p>
          <w:p w:rsidR="00DE2171" w:rsidRPr="00DE2171" w:rsidRDefault="00DE2171" w:rsidP="00A07DC1">
            <w:pPr>
              <w:pStyle w:val="BodyText"/>
              <w:spacing w:before="60" w:after="60"/>
              <w:jc w:val="left"/>
            </w:pPr>
            <w:r w:rsidRPr="00DE2171">
              <w:t xml:space="preserve">Until the DRRs have been updated for D+1 (or an equivalent replacement), First Gas will continue to use D+1’s day-in-arrears allocations </w:t>
            </w:r>
          </w:p>
          <w:p w:rsidR="00DE2171" w:rsidRDefault="00DE2171" w:rsidP="00A07DC1">
            <w:pPr>
              <w:pStyle w:val="BodyText"/>
              <w:spacing w:before="60" w:after="60"/>
              <w:jc w:val="left"/>
            </w:pPr>
            <w:r w:rsidRPr="00DE2171">
              <w:t xml:space="preserve">If necessary, First Gas will </w:t>
            </w:r>
            <w:proofErr w:type="gramStart"/>
            <w:r w:rsidRPr="00DE2171">
              <w:t>enter into a</w:t>
            </w:r>
            <w:proofErr w:type="gramEnd"/>
            <w:r w:rsidRPr="00DE2171">
              <w:t xml:space="preserve"> replacement document or amend the current agreement with the GIC so D+1 will be used under the GTAC</w:t>
            </w:r>
          </w:p>
        </w:tc>
      </w:tr>
      <w:tr w:rsidR="00DE2171" w:rsidTr="008E6611">
        <w:trPr>
          <w:cantSplit/>
        </w:trPr>
        <w:tc>
          <w:tcPr>
            <w:tcW w:w="562" w:type="dxa"/>
          </w:tcPr>
          <w:p w:rsidR="00DE2171" w:rsidRDefault="00DE2171" w:rsidP="00DE2171">
            <w:pPr>
              <w:pStyle w:val="BodyText"/>
              <w:spacing w:before="60" w:after="60"/>
              <w:jc w:val="center"/>
            </w:pPr>
            <w:r>
              <w:t>27</w:t>
            </w:r>
          </w:p>
        </w:tc>
        <w:tc>
          <w:tcPr>
            <w:tcW w:w="2977" w:type="dxa"/>
          </w:tcPr>
          <w:p w:rsidR="00DE2171" w:rsidRDefault="00DE2171" w:rsidP="00DE2171">
            <w:pPr>
              <w:pStyle w:val="BodyText"/>
              <w:spacing w:before="60" w:after="60"/>
              <w:jc w:val="left"/>
            </w:pPr>
            <w:r>
              <w:t>Prepare MoU or other document that substitutes for an MoU under the change provisions (section 17)</w:t>
            </w:r>
          </w:p>
        </w:tc>
        <w:tc>
          <w:tcPr>
            <w:tcW w:w="1701" w:type="dxa"/>
          </w:tcPr>
          <w:p w:rsidR="00DE2171" w:rsidRDefault="00DE2171" w:rsidP="00DE2171">
            <w:pPr>
              <w:pStyle w:val="BodyText"/>
              <w:spacing w:before="60" w:after="60"/>
            </w:pPr>
            <w:r>
              <w:t>GIC</w:t>
            </w:r>
          </w:p>
        </w:tc>
        <w:tc>
          <w:tcPr>
            <w:tcW w:w="3969" w:type="dxa"/>
          </w:tcPr>
          <w:p w:rsidR="00DE2171" w:rsidRDefault="00DE2171" w:rsidP="00A07DC1">
            <w:pPr>
              <w:pStyle w:val="BodyText"/>
              <w:spacing w:before="60" w:after="60"/>
              <w:jc w:val="left"/>
            </w:pPr>
            <w:r>
              <w:t>GIC has released consultation paper on how it would evaluate a GTAC change request (</w:t>
            </w:r>
            <w:hyperlink r:id="rId8" w:history="1">
              <w:r w:rsidRPr="00B3070E">
                <w:rPr>
                  <w:rStyle w:val="Hyperlink"/>
                </w:rPr>
                <w:t>http://www.gasindustry.co.nz/work-programmes/transmission-pipeline-access/developing/consultation-report-on-how-gas-industry-co-would-perform-a-gtac-change-request/</w:t>
              </w:r>
            </w:hyperlink>
            <w:r>
              <w:t xml:space="preserve">) </w:t>
            </w:r>
          </w:p>
        </w:tc>
      </w:tr>
      <w:tr w:rsidR="00DE2171" w:rsidTr="008E6611">
        <w:trPr>
          <w:cantSplit/>
        </w:trPr>
        <w:tc>
          <w:tcPr>
            <w:tcW w:w="562" w:type="dxa"/>
          </w:tcPr>
          <w:p w:rsidR="00DE2171" w:rsidRPr="00DE2171" w:rsidRDefault="00DE2171" w:rsidP="00DE2171">
            <w:pPr>
              <w:pStyle w:val="BodyText"/>
              <w:spacing w:before="60" w:after="60"/>
              <w:jc w:val="center"/>
            </w:pPr>
            <w:r w:rsidRPr="00DE2171">
              <w:t>28</w:t>
            </w:r>
          </w:p>
        </w:tc>
        <w:tc>
          <w:tcPr>
            <w:tcW w:w="2977" w:type="dxa"/>
          </w:tcPr>
          <w:p w:rsidR="00DE2171" w:rsidRPr="00DE2171" w:rsidRDefault="00DE2171" w:rsidP="00DE2171">
            <w:pPr>
              <w:pStyle w:val="BodyText"/>
              <w:spacing w:before="60" w:after="60"/>
              <w:jc w:val="left"/>
            </w:pPr>
            <w:r w:rsidRPr="00DE2171">
              <w:t>Reflect on the purposes of OFOs, and what the action is (in practice) that FG wants shippers to do</w:t>
            </w:r>
          </w:p>
        </w:tc>
        <w:tc>
          <w:tcPr>
            <w:tcW w:w="1701" w:type="dxa"/>
          </w:tcPr>
          <w:p w:rsidR="00DE2171" w:rsidRPr="00DE2171" w:rsidRDefault="00DE2171" w:rsidP="00DE2171">
            <w:pPr>
              <w:pStyle w:val="BodyText"/>
              <w:spacing w:before="60" w:after="60"/>
            </w:pPr>
            <w:r w:rsidRPr="00DE2171">
              <w:t xml:space="preserve">First Gas </w:t>
            </w:r>
          </w:p>
        </w:tc>
        <w:tc>
          <w:tcPr>
            <w:tcW w:w="3969" w:type="dxa"/>
          </w:tcPr>
          <w:p w:rsidR="00DE2171" w:rsidRPr="00DE2171" w:rsidRDefault="00DE2171" w:rsidP="00A07DC1">
            <w:pPr>
              <w:pStyle w:val="BodyText"/>
              <w:spacing w:before="60" w:after="60"/>
              <w:jc w:val="left"/>
            </w:pPr>
            <w:r w:rsidRPr="00DE2171">
              <w:t>OFOs are intended to be used where it is necessary to curtail physical gas flow, especially where the physical integrity of the Tr</w:t>
            </w:r>
            <w:r w:rsidR="00A07DC1">
              <w:t>ansmission System is threatened</w:t>
            </w:r>
            <w:r w:rsidRPr="00DE2171">
              <w:t xml:space="preserve"> or has been compromised </w:t>
            </w:r>
          </w:p>
          <w:p w:rsidR="00DE2171" w:rsidRPr="00DE2171" w:rsidRDefault="00DE2171" w:rsidP="00A07DC1">
            <w:pPr>
              <w:pStyle w:val="BodyText"/>
              <w:spacing w:before="60" w:after="60"/>
              <w:jc w:val="left"/>
            </w:pPr>
            <w:r w:rsidRPr="00DE2171">
              <w:t>OFOs are not seen as being part of the nominations process</w:t>
            </w:r>
          </w:p>
          <w:p w:rsidR="00DE2171" w:rsidRPr="00DE2171" w:rsidRDefault="00DE2171" w:rsidP="00A07DC1">
            <w:pPr>
              <w:pStyle w:val="BodyText"/>
              <w:spacing w:before="60" w:after="60"/>
              <w:jc w:val="left"/>
            </w:pPr>
            <w:r w:rsidRPr="00DE2171">
              <w:t>First Gas accepts that, at least in relation to Dedicated Delivery Points, the Interconnected Party (= the end-user of Gas) is best placed to control the flow of Gas</w:t>
            </w:r>
          </w:p>
          <w:p w:rsidR="00DE2171" w:rsidRPr="00DE2171" w:rsidRDefault="00DE2171" w:rsidP="00A07DC1">
            <w:pPr>
              <w:pStyle w:val="BodyText"/>
              <w:spacing w:before="60" w:after="60"/>
              <w:jc w:val="left"/>
            </w:pPr>
            <w:r w:rsidRPr="00DE2171">
              <w:t xml:space="preserve">Therefore, First Gas has clarified that where it </w:t>
            </w:r>
            <w:proofErr w:type="gramStart"/>
            <w:r w:rsidRPr="00DE2171">
              <w:t>is able to</w:t>
            </w:r>
            <w:proofErr w:type="gramEnd"/>
            <w:r w:rsidRPr="00DE2171">
              <w:t xml:space="preserve"> do so (i.e. under an Interconnection Agreement) it will issue an OFO to the Interconnected Party rather than to a Shipper using a Dedicated Delivery Point (wi</w:t>
            </w:r>
            <w:r w:rsidR="00A07DC1">
              <w:t xml:space="preserve">th the same logic applying at </w:t>
            </w:r>
            <w:r w:rsidRPr="00DE2171">
              <w:t>Receipt Point</w:t>
            </w:r>
            <w:r w:rsidR="00A07DC1">
              <w:t>s</w:t>
            </w:r>
            <w:r w:rsidRPr="00DE2171">
              <w:t xml:space="preserve">) </w:t>
            </w:r>
          </w:p>
        </w:tc>
      </w:tr>
      <w:tr w:rsidR="00DE2171" w:rsidRPr="00DE2171" w:rsidTr="008E6611">
        <w:trPr>
          <w:cantSplit/>
        </w:trPr>
        <w:tc>
          <w:tcPr>
            <w:tcW w:w="562" w:type="dxa"/>
          </w:tcPr>
          <w:p w:rsidR="00DE2171" w:rsidRPr="00DE2171" w:rsidRDefault="00DE2171" w:rsidP="00DE2171">
            <w:pPr>
              <w:pStyle w:val="BodyText"/>
              <w:spacing w:before="60" w:after="60"/>
              <w:jc w:val="center"/>
            </w:pPr>
            <w:r w:rsidRPr="00DE2171">
              <w:t>29</w:t>
            </w:r>
          </w:p>
        </w:tc>
        <w:tc>
          <w:tcPr>
            <w:tcW w:w="2977" w:type="dxa"/>
          </w:tcPr>
          <w:p w:rsidR="00DE2171" w:rsidRPr="00DE2171" w:rsidRDefault="00DE2171" w:rsidP="00DE2171">
            <w:pPr>
              <w:pStyle w:val="BodyText"/>
              <w:spacing w:before="60" w:after="60"/>
              <w:jc w:val="left"/>
            </w:pPr>
            <w:r w:rsidRPr="00DE2171">
              <w:t>Reconsider / publish the metering requirements</w:t>
            </w:r>
          </w:p>
        </w:tc>
        <w:tc>
          <w:tcPr>
            <w:tcW w:w="1701" w:type="dxa"/>
          </w:tcPr>
          <w:p w:rsidR="00DE2171" w:rsidRPr="00DE2171" w:rsidRDefault="00DE2171" w:rsidP="00DE2171">
            <w:pPr>
              <w:pStyle w:val="BodyText"/>
              <w:spacing w:before="60" w:after="60"/>
            </w:pPr>
            <w:r w:rsidRPr="00DE2171">
              <w:t xml:space="preserve">First Gas </w:t>
            </w:r>
          </w:p>
        </w:tc>
        <w:tc>
          <w:tcPr>
            <w:tcW w:w="3969" w:type="dxa"/>
          </w:tcPr>
          <w:p w:rsidR="00DE2171" w:rsidRPr="00DE2171" w:rsidRDefault="00DE2171" w:rsidP="00A07DC1">
            <w:pPr>
              <w:pStyle w:val="BodyText"/>
              <w:spacing w:before="60" w:after="60"/>
              <w:jc w:val="left"/>
            </w:pPr>
            <w:r w:rsidRPr="00DE2171">
              <w:t>Process for developing and releasing metering requirements documen</w:t>
            </w:r>
            <w:r w:rsidR="00A07DC1">
              <w:t>t discussed at 31 August</w:t>
            </w:r>
            <w:r w:rsidRPr="00DE2171">
              <w:t xml:space="preserve"> teleconference</w:t>
            </w:r>
          </w:p>
        </w:tc>
      </w:tr>
      <w:tr w:rsidR="00DE2171" w:rsidRPr="00DE2171" w:rsidTr="008E6611">
        <w:trPr>
          <w:cantSplit/>
        </w:trPr>
        <w:tc>
          <w:tcPr>
            <w:tcW w:w="562" w:type="dxa"/>
          </w:tcPr>
          <w:p w:rsidR="00DE2171" w:rsidRPr="00DE2171" w:rsidRDefault="00DE2171" w:rsidP="00DE2171">
            <w:pPr>
              <w:pStyle w:val="BodyText"/>
              <w:spacing w:before="60" w:after="60"/>
              <w:jc w:val="center"/>
            </w:pPr>
            <w:r w:rsidRPr="00DE2171">
              <w:lastRenderedPageBreak/>
              <w:t>30</w:t>
            </w:r>
          </w:p>
        </w:tc>
        <w:tc>
          <w:tcPr>
            <w:tcW w:w="2977" w:type="dxa"/>
          </w:tcPr>
          <w:p w:rsidR="00DE2171" w:rsidRPr="00DE2171" w:rsidRDefault="00DE2171" w:rsidP="00DE2171">
            <w:pPr>
              <w:pStyle w:val="BodyText"/>
              <w:spacing w:before="60" w:after="60"/>
              <w:jc w:val="left"/>
            </w:pPr>
            <w:r w:rsidRPr="00DE2171">
              <w:t>Consider firming up the proposal for park and loan</w:t>
            </w:r>
          </w:p>
        </w:tc>
        <w:tc>
          <w:tcPr>
            <w:tcW w:w="1701" w:type="dxa"/>
          </w:tcPr>
          <w:p w:rsidR="00DE2171" w:rsidRPr="00DE2171" w:rsidRDefault="00DE2171" w:rsidP="00DE2171">
            <w:pPr>
              <w:pStyle w:val="BodyText"/>
              <w:spacing w:before="60" w:after="60"/>
            </w:pPr>
            <w:r w:rsidRPr="00DE2171">
              <w:t xml:space="preserve">First Gas </w:t>
            </w:r>
          </w:p>
        </w:tc>
        <w:tc>
          <w:tcPr>
            <w:tcW w:w="3969" w:type="dxa"/>
          </w:tcPr>
          <w:p w:rsidR="00DE2171" w:rsidRPr="00DE2171" w:rsidRDefault="00DE2171" w:rsidP="00A07DC1">
            <w:pPr>
              <w:pStyle w:val="BodyText"/>
              <w:spacing w:before="60" w:after="60"/>
              <w:jc w:val="left"/>
            </w:pPr>
            <w:r w:rsidRPr="00DE2171">
              <w:t>GTAC provides f</w:t>
            </w:r>
            <w:r w:rsidR="00A07DC1">
              <w:t xml:space="preserve">or park and loan as an option for </w:t>
            </w:r>
            <w:r w:rsidRPr="00DE2171">
              <w:t xml:space="preserve">shippers and OBA parties that would otherwise </w:t>
            </w:r>
            <w:r w:rsidR="00A07DC1">
              <w:t xml:space="preserve">incur </w:t>
            </w:r>
            <w:r w:rsidRPr="00DE2171">
              <w:t xml:space="preserve">ERM charges. The GTAC aims to be flexible enough for the product to evolve with market needs. Further information on </w:t>
            </w:r>
            <w:r w:rsidR="00511CDE">
              <w:t>the</w:t>
            </w:r>
            <w:r w:rsidRPr="00DE2171">
              <w:t xml:space="preserve"> approach to offering and evaluating </w:t>
            </w:r>
            <w:r w:rsidR="00511CDE">
              <w:t xml:space="preserve">requests for </w:t>
            </w:r>
            <w:r w:rsidRPr="00DE2171">
              <w:t xml:space="preserve">park and loan </w:t>
            </w:r>
            <w:r w:rsidR="00511CDE">
              <w:t>will be provided by First Gas in due course, but will sit outside the GTAC</w:t>
            </w:r>
          </w:p>
        </w:tc>
      </w:tr>
      <w:tr w:rsidR="00E72CA3" w:rsidRPr="00E72CA3" w:rsidTr="008E6611">
        <w:trPr>
          <w:cantSplit/>
        </w:trPr>
        <w:tc>
          <w:tcPr>
            <w:tcW w:w="562" w:type="dxa"/>
          </w:tcPr>
          <w:p w:rsidR="00DE2171" w:rsidRPr="00E72CA3" w:rsidRDefault="00DE2171" w:rsidP="00DE2171">
            <w:pPr>
              <w:pStyle w:val="BodyText"/>
              <w:spacing w:before="60" w:after="60"/>
              <w:jc w:val="center"/>
            </w:pPr>
            <w:r w:rsidRPr="00E72CA3">
              <w:t>31</w:t>
            </w:r>
          </w:p>
        </w:tc>
        <w:tc>
          <w:tcPr>
            <w:tcW w:w="2977" w:type="dxa"/>
          </w:tcPr>
          <w:p w:rsidR="00DE2171" w:rsidRPr="00E72CA3" w:rsidRDefault="00DE2171" w:rsidP="00DE2171">
            <w:pPr>
              <w:pStyle w:val="BodyText"/>
              <w:spacing w:before="60" w:after="60"/>
              <w:jc w:val="left"/>
            </w:pPr>
            <w:r w:rsidRPr="00E72CA3">
              <w:t xml:space="preserve">Consider the position on </w:t>
            </w:r>
            <w:proofErr w:type="spellStart"/>
            <w:r w:rsidRPr="00E72CA3">
              <w:t>vetos</w:t>
            </w:r>
            <w:proofErr w:type="spellEnd"/>
            <w:r w:rsidRPr="00E72CA3">
              <w:t xml:space="preserve"> – both the concept and timings</w:t>
            </w:r>
          </w:p>
        </w:tc>
        <w:tc>
          <w:tcPr>
            <w:tcW w:w="1701" w:type="dxa"/>
          </w:tcPr>
          <w:p w:rsidR="00DE2171" w:rsidRPr="00E72CA3" w:rsidRDefault="00DE2171" w:rsidP="00DE2171">
            <w:pPr>
              <w:pStyle w:val="BodyText"/>
              <w:spacing w:before="60" w:after="60"/>
            </w:pPr>
            <w:r w:rsidRPr="00E72CA3">
              <w:t xml:space="preserve">First Gas </w:t>
            </w:r>
          </w:p>
        </w:tc>
        <w:tc>
          <w:tcPr>
            <w:tcW w:w="3969" w:type="dxa"/>
          </w:tcPr>
          <w:p w:rsidR="00DE2171" w:rsidRPr="00E72CA3" w:rsidRDefault="00DE2171" w:rsidP="00A07DC1">
            <w:pPr>
              <w:pStyle w:val="BodyText"/>
              <w:spacing w:before="60" w:after="60"/>
              <w:jc w:val="left"/>
            </w:pPr>
            <w:r w:rsidRPr="00E72CA3">
              <w:t xml:space="preserve">Ability for First Gas to veto supported code changes </w:t>
            </w:r>
            <w:r w:rsidR="00511CDE">
              <w:t xml:space="preserve">has been </w:t>
            </w:r>
            <w:r w:rsidRPr="00E72CA3">
              <w:t xml:space="preserve">limited to situations where it would </w:t>
            </w:r>
            <w:r w:rsidR="00511CDE">
              <w:t xml:space="preserve">adversely impact First Gas’ </w:t>
            </w:r>
            <w:r w:rsidRPr="00E72CA3">
              <w:t>abil</w:t>
            </w:r>
            <w:r w:rsidR="00511CDE">
              <w:t>ity to fulfil RPO or recover</w:t>
            </w:r>
            <w:r w:rsidR="00E72CA3">
              <w:t xml:space="preserve"> cost</w:t>
            </w:r>
            <w:r w:rsidR="00511CDE">
              <w:t>s</w:t>
            </w:r>
          </w:p>
        </w:tc>
      </w:tr>
      <w:tr w:rsidR="00E72CA3" w:rsidRPr="00E72CA3" w:rsidTr="008E6611">
        <w:trPr>
          <w:cantSplit/>
        </w:trPr>
        <w:tc>
          <w:tcPr>
            <w:tcW w:w="562" w:type="dxa"/>
          </w:tcPr>
          <w:p w:rsidR="00DE2171" w:rsidRPr="00E72CA3" w:rsidRDefault="00DE2171" w:rsidP="00DE2171">
            <w:pPr>
              <w:pStyle w:val="BodyText"/>
              <w:spacing w:before="60" w:after="60"/>
              <w:jc w:val="center"/>
            </w:pPr>
            <w:r w:rsidRPr="00E72CA3">
              <w:t>32</w:t>
            </w:r>
          </w:p>
        </w:tc>
        <w:tc>
          <w:tcPr>
            <w:tcW w:w="2977" w:type="dxa"/>
          </w:tcPr>
          <w:p w:rsidR="00DE2171" w:rsidRPr="00E72CA3" w:rsidRDefault="00DE2171" w:rsidP="00DE2171">
            <w:pPr>
              <w:pStyle w:val="BodyText"/>
              <w:spacing w:before="60" w:after="60"/>
              <w:jc w:val="left"/>
            </w:pPr>
            <w:r w:rsidRPr="00E72CA3">
              <w:t xml:space="preserve">Consider more prescription across sections discussed at workshop (including </w:t>
            </w:r>
            <w:proofErr w:type="spellStart"/>
            <w:r w:rsidRPr="00E72CA3">
              <w:t>Fnerm</w:t>
            </w:r>
            <w:proofErr w:type="spellEnd"/>
            <w:r w:rsidRPr="00E72CA3">
              <w:t>, ‘</w:t>
            </w:r>
            <w:proofErr w:type="spellStart"/>
            <w:r w:rsidRPr="00E72CA3">
              <w:t>Oatis</w:t>
            </w:r>
            <w:proofErr w:type="spellEnd"/>
            <w:r w:rsidRPr="00E72CA3">
              <w:t>’ cycle times, and other such points)</w:t>
            </w:r>
          </w:p>
        </w:tc>
        <w:tc>
          <w:tcPr>
            <w:tcW w:w="1701" w:type="dxa"/>
          </w:tcPr>
          <w:p w:rsidR="00DE2171" w:rsidRPr="00E72CA3" w:rsidRDefault="00DE2171" w:rsidP="00DE2171">
            <w:pPr>
              <w:pStyle w:val="BodyText"/>
              <w:spacing w:before="60" w:after="60"/>
            </w:pPr>
            <w:r w:rsidRPr="00E72CA3">
              <w:t xml:space="preserve">First Gas </w:t>
            </w:r>
          </w:p>
        </w:tc>
        <w:tc>
          <w:tcPr>
            <w:tcW w:w="3969" w:type="dxa"/>
          </w:tcPr>
          <w:p w:rsidR="00DE2171" w:rsidRPr="00E72CA3" w:rsidRDefault="00DE2171" w:rsidP="00A07DC1">
            <w:pPr>
              <w:pStyle w:val="BodyText"/>
              <w:spacing w:before="60" w:after="60"/>
              <w:jc w:val="left"/>
            </w:pPr>
            <w:r w:rsidRPr="00E72CA3">
              <w:t>See response to item 37 below</w:t>
            </w:r>
          </w:p>
        </w:tc>
      </w:tr>
      <w:tr w:rsidR="00DE2171" w:rsidTr="008E6611">
        <w:trPr>
          <w:cantSplit/>
        </w:trPr>
        <w:tc>
          <w:tcPr>
            <w:tcW w:w="562" w:type="dxa"/>
          </w:tcPr>
          <w:p w:rsidR="00DE2171" w:rsidRPr="00E72CA3" w:rsidRDefault="00DE2171" w:rsidP="00DE2171">
            <w:pPr>
              <w:pStyle w:val="BodyText"/>
              <w:spacing w:before="60" w:after="60"/>
              <w:jc w:val="center"/>
            </w:pPr>
            <w:r w:rsidRPr="00E72CA3">
              <w:t>33</w:t>
            </w:r>
          </w:p>
        </w:tc>
        <w:tc>
          <w:tcPr>
            <w:tcW w:w="2977" w:type="dxa"/>
          </w:tcPr>
          <w:p w:rsidR="00DE2171" w:rsidRPr="00E72CA3" w:rsidRDefault="00DE2171" w:rsidP="00DE2171">
            <w:pPr>
              <w:pStyle w:val="BodyText"/>
              <w:spacing w:before="60" w:after="60"/>
              <w:jc w:val="left"/>
            </w:pPr>
            <w:r w:rsidRPr="00E72CA3">
              <w:t>Consider removing s2.8(b), s8.14-18</w:t>
            </w:r>
          </w:p>
        </w:tc>
        <w:tc>
          <w:tcPr>
            <w:tcW w:w="1701" w:type="dxa"/>
          </w:tcPr>
          <w:p w:rsidR="00DE2171" w:rsidRPr="00E72CA3" w:rsidRDefault="00DE2171" w:rsidP="00DE2171">
            <w:pPr>
              <w:pStyle w:val="BodyText"/>
              <w:spacing w:before="60" w:after="60"/>
            </w:pPr>
            <w:r w:rsidRPr="00E72CA3">
              <w:t xml:space="preserve">First Gas </w:t>
            </w:r>
          </w:p>
        </w:tc>
        <w:tc>
          <w:tcPr>
            <w:tcW w:w="3969" w:type="dxa"/>
          </w:tcPr>
          <w:p w:rsidR="00DE2171" w:rsidRPr="00E72CA3" w:rsidRDefault="00DE2171" w:rsidP="00A07DC1">
            <w:pPr>
              <w:pStyle w:val="BodyText"/>
              <w:spacing w:before="60" w:after="60"/>
              <w:jc w:val="left"/>
            </w:pPr>
            <w:r w:rsidRPr="00E72CA3">
              <w:t xml:space="preserve">The Target Taranaki Pressure is no longer linked </w:t>
            </w:r>
            <w:r w:rsidR="00511CDE">
              <w:t>to (aggregate) Running Mismatch</w:t>
            </w:r>
            <w:r w:rsidRPr="00E72CA3">
              <w:t xml:space="preserve"> </w:t>
            </w:r>
          </w:p>
          <w:p w:rsidR="00DE2171" w:rsidRPr="00E72CA3" w:rsidRDefault="00DE2171" w:rsidP="00A07DC1">
            <w:pPr>
              <w:pStyle w:val="BodyText"/>
              <w:spacing w:before="60" w:after="60"/>
              <w:jc w:val="left"/>
            </w:pPr>
            <w:r w:rsidRPr="00E72CA3">
              <w:t>First Gas does not believe that it is appropriate (given the other provisions of the GTAC, including incentives) to “impose” ERM trades on parties. Accordingly, the former section</w:t>
            </w:r>
            <w:r w:rsidR="00511CDE">
              <w:t>s 8.14 – 8.18 have been deleted</w:t>
            </w:r>
          </w:p>
        </w:tc>
      </w:tr>
      <w:tr w:rsidR="00DE2171" w:rsidTr="008E6611">
        <w:trPr>
          <w:cantSplit/>
        </w:trPr>
        <w:tc>
          <w:tcPr>
            <w:tcW w:w="562" w:type="dxa"/>
          </w:tcPr>
          <w:p w:rsidR="00DE2171" w:rsidRPr="00E72CA3" w:rsidRDefault="00DE2171" w:rsidP="00DE2171">
            <w:pPr>
              <w:pStyle w:val="BodyText"/>
              <w:spacing w:before="60" w:after="60"/>
              <w:jc w:val="center"/>
            </w:pPr>
            <w:r w:rsidRPr="00E72CA3">
              <w:t>34</w:t>
            </w:r>
          </w:p>
        </w:tc>
        <w:tc>
          <w:tcPr>
            <w:tcW w:w="2977" w:type="dxa"/>
          </w:tcPr>
          <w:p w:rsidR="00DE2171" w:rsidRPr="00E72CA3" w:rsidRDefault="00DE2171" w:rsidP="00DE2171">
            <w:pPr>
              <w:pStyle w:val="BodyText"/>
              <w:spacing w:before="60" w:after="60"/>
              <w:jc w:val="left"/>
            </w:pPr>
            <w:r w:rsidRPr="00E72CA3">
              <w:t>Consider adding consultation on s2.10 (uneconomic transmission)</w:t>
            </w:r>
          </w:p>
        </w:tc>
        <w:tc>
          <w:tcPr>
            <w:tcW w:w="1701" w:type="dxa"/>
          </w:tcPr>
          <w:p w:rsidR="00DE2171" w:rsidRPr="00E72CA3" w:rsidRDefault="00DE2171" w:rsidP="00DE2171">
            <w:pPr>
              <w:pStyle w:val="BodyText"/>
              <w:spacing w:before="60" w:after="60"/>
            </w:pPr>
            <w:r w:rsidRPr="00E72CA3">
              <w:t xml:space="preserve">First Gas </w:t>
            </w:r>
          </w:p>
        </w:tc>
        <w:tc>
          <w:tcPr>
            <w:tcW w:w="3969" w:type="dxa"/>
          </w:tcPr>
          <w:p w:rsidR="00DE2171" w:rsidRPr="00E72CA3" w:rsidRDefault="00DE2171" w:rsidP="00A07DC1">
            <w:pPr>
              <w:pStyle w:val="BodyText"/>
              <w:spacing w:before="60" w:after="60"/>
              <w:jc w:val="left"/>
            </w:pPr>
            <w:r w:rsidRPr="00E72CA3">
              <w:t xml:space="preserve">The drafting has been </w:t>
            </w:r>
            <w:r w:rsidR="00511CDE">
              <w:t>edited</w:t>
            </w:r>
            <w:r w:rsidRPr="00E72CA3">
              <w:t xml:space="preserve">, but </w:t>
            </w:r>
            <w:r w:rsidR="00E72CA3" w:rsidRPr="00E72CA3">
              <w:t>the provisions</w:t>
            </w:r>
            <w:r w:rsidRPr="00E72CA3">
              <w:t xml:space="preserve"> remain </w:t>
            </w:r>
            <w:proofErr w:type="gramStart"/>
            <w:r w:rsidRPr="00E72CA3">
              <w:t>similar to</w:t>
            </w:r>
            <w:proofErr w:type="gramEnd"/>
            <w:r w:rsidRPr="00E72CA3">
              <w:t xml:space="preserve"> </w:t>
            </w:r>
            <w:r w:rsidR="00E72CA3" w:rsidRPr="00E72CA3">
              <w:t xml:space="preserve">those currently found in </w:t>
            </w:r>
            <w:r w:rsidRPr="00E72CA3">
              <w:t xml:space="preserve">VTC </w:t>
            </w:r>
          </w:p>
        </w:tc>
      </w:tr>
    </w:tbl>
    <w:p w:rsidR="00F224B4" w:rsidRPr="009575B4" w:rsidRDefault="00F224B4" w:rsidP="009575B4">
      <w:pPr>
        <w:rPr>
          <w:b/>
        </w:rPr>
      </w:pPr>
    </w:p>
    <w:p w:rsidR="00F224B4" w:rsidRPr="008D1F6B" w:rsidRDefault="008D1F6B" w:rsidP="00F224B4">
      <w:pPr>
        <w:rPr>
          <w:b/>
        </w:rPr>
      </w:pPr>
      <w:r w:rsidRPr="008D1F6B">
        <w:rPr>
          <w:b/>
        </w:rPr>
        <w:t>Actions from Thursday, 31 August 2017 (teleconference)</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2977"/>
        <w:gridCol w:w="1701"/>
        <w:gridCol w:w="3969"/>
      </w:tblGrid>
      <w:tr w:rsidR="008E6611" w:rsidRPr="009575B4" w:rsidTr="008E6611">
        <w:trPr>
          <w:tblHeader/>
        </w:trPr>
        <w:tc>
          <w:tcPr>
            <w:tcW w:w="562" w:type="dxa"/>
            <w:shd w:val="clear" w:color="auto" w:fill="DEEAF6" w:themeFill="accent1" w:themeFillTint="33"/>
          </w:tcPr>
          <w:p w:rsidR="008E6611" w:rsidRPr="009575B4" w:rsidRDefault="008E6611" w:rsidP="0003063F">
            <w:pPr>
              <w:pStyle w:val="BodyText"/>
              <w:spacing w:before="60" w:after="60"/>
              <w:jc w:val="center"/>
              <w:rPr>
                <w:b/>
              </w:rPr>
            </w:pPr>
            <w:r w:rsidRPr="009575B4">
              <w:rPr>
                <w:b/>
              </w:rPr>
              <w:t>#</w:t>
            </w:r>
          </w:p>
        </w:tc>
        <w:tc>
          <w:tcPr>
            <w:tcW w:w="2977" w:type="dxa"/>
            <w:shd w:val="clear" w:color="auto" w:fill="DEEAF6" w:themeFill="accent1" w:themeFillTint="33"/>
          </w:tcPr>
          <w:p w:rsidR="008E6611" w:rsidRPr="009575B4" w:rsidRDefault="008E6611" w:rsidP="008E6611">
            <w:pPr>
              <w:pStyle w:val="BodyText"/>
              <w:spacing w:before="60" w:after="60"/>
              <w:jc w:val="left"/>
              <w:rPr>
                <w:b/>
              </w:rPr>
            </w:pPr>
            <w:r w:rsidRPr="009575B4">
              <w:rPr>
                <w:b/>
              </w:rPr>
              <w:t>Item</w:t>
            </w:r>
          </w:p>
        </w:tc>
        <w:tc>
          <w:tcPr>
            <w:tcW w:w="1701" w:type="dxa"/>
            <w:shd w:val="clear" w:color="auto" w:fill="DEEAF6" w:themeFill="accent1" w:themeFillTint="33"/>
          </w:tcPr>
          <w:p w:rsidR="008E6611" w:rsidRPr="009575B4" w:rsidRDefault="008E6611" w:rsidP="006B6041">
            <w:pPr>
              <w:pStyle w:val="BodyText"/>
              <w:spacing w:before="60" w:after="60"/>
              <w:rPr>
                <w:b/>
              </w:rPr>
            </w:pPr>
            <w:r w:rsidRPr="009575B4">
              <w:rPr>
                <w:b/>
              </w:rPr>
              <w:t>Responsibility</w:t>
            </w:r>
          </w:p>
        </w:tc>
        <w:tc>
          <w:tcPr>
            <w:tcW w:w="3969" w:type="dxa"/>
            <w:shd w:val="clear" w:color="auto" w:fill="DEEAF6" w:themeFill="accent1" w:themeFillTint="33"/>
          </w:tcPr>
          <w:p w:rsidR="008E6611" w:rsidRPr="009575B4" w:rsidRDefault="008E6611" w:rsidP="008E6611">
            <w:pPr>
              <w:pStyle w:val="BodyText"/>
              <w:spacing w:before="60" w:after="60"/>
              <w:jc w:val="left"/>
              <w:rPr>
                <w:b/>
              </w:rPr>
            </w:pPr>
            <w:r>
              <w:rPr>
                <w:b/>
              </w:rPr>
              <w:t>Action Taken</w:t>
            </w:r>
          </w:p>
        </w:tc>
      </w:tr>
      <w:tr w:rsidR="00640204" w:rsidTr="008E6611">
        <w:tc>
          <w:tcPr>
            <w:tcW w:w="562" w:type="dxa"/>
          </w:tcPr>
          <w:p w:rsidR="00640204" w:rsidRDefault="00640204" w:rsidP="00640204">
            <w:pPr>
              <w:pStyle w:val="BodyText"/>
              <w:spacing w:before="60" w:after="60"/>
              <w:jc w:val="center"/>
            </w:pPr>
            <w:r>
              <w:t>35</w:t>
            </w:r>
          </w:p>
        </w:tc>
        <w:tc>
          <w:tcPr>
            <w:tcW w:w="2977" w:type="dxa"/>
          </w:tcPr>
          <w:p w:rsidR="00640204" w:rsidRDefault="00640204" w:rsidP="00640204">
            <w:pPr>
              <w:pStyle w:val="BodyText"/>
              <w:spacing w:before="60" w:after="60"/>
              <w:jc w:val="left"/>
            </w:pPr>
            <w:r>
              <w:t>Consider whether the “principles” for an OBA should be included in the code?</w:t>
            </w:r>
          </w:p>
        </w:tc>
        <w:tc>
          <w:tcPr>
            <w:tcW w:w="1701" w:type="dxa"/>
          </w:tcPr>
          <w:p w:rsidR="00640204" w:rsidRDefault="00640204" w:rsidP="00640204">
            <w:pPr>
              <w:pStyle w:val="BodyText"/>
              <w:spacing w:before="60" w:after="60"/>
            </w:pPr>
            <w:r>
              <w:t xml:space="preserve">First Gas </w:t>
            </w:r>
          </w:p>
        </w:tc>
        <w:tc>
          <w:tcPr>
            <w:tcW w:w="3969" w:type="dxa"/>
          </w:tcPr>
          <w:p w:rsidR="00640204" w:rsidRDefault="00533B6A" w:rsidP="00640204">
            <w:pPr>
              <w:pStyle w:val="BodyText"/>
              <w:spacing w:before="60" w:after="60"/>
              <w:jc w:val="left"/>
            </w:pPr>
            <w:r>
              <w:t>The definition of OBA in the GTAC contains the core principles and functions of an OBA (e.g. that Mismatch is determined at the relevant Receipt Point or Delivery Point and is the responsibility of the OBA Party)</w:t>
            </w:r>
          </w:p>
        </w:tc>
      </w:tr>
      <w:tr w:rsidR="00640204" w:rsidTr="008E6611">
        <w:tc>
          <w:tcPr>
            <w:tcW w:w="562" w:type="dxa"/>
          </w:tcPr>
          <w:p w:rsidR="00640204" w:rsidRDefault="00640204" w:rsidP="00640204">
            <w:pPr>
              <w:pStyle w:val="BodyText"/>
              <w:spacing w:before="60" w:after="60"/>
              <w:jc w:val="center"/>
            </w:pPr>
            <w:r>
              <w:t>36</w:t>
            </w:r>
          </w:p>
        </w:tc>
        <w:tc>
          <w:tcPr>
            <w:tcW w:w="2977" w:type="dxa"/>
          </w:tcPr>
          <w:p w:rsidR="00640204" w:rsidRDefault="00640204" w:rsidP="00640204">
            <w:pPr>
              <w:pStyle w:val="BodyText"/>
              <w:spacing w:before="60" w:after="60"/>
              <w:jc w:val="left"/>
            </w:pPr>
            <w:r>
              <w:t xml:space="preserve">Investigate regulatory treatment of balancing charges (ERM fees) – do they still count as recoverable costs </w:t>
            </w:r>
            <w:r>
              <w:lastRenderedPageBreak/>
              <w:t>and credits given lack of link with purchase and sale of balancing gas?</w:t>
            </w:r>
          </w:p>
        </w:tc>
        <w:tc>
          <w:tcPr>
            <w:tcW w:w="1701" w:type="dxa"/>
          </w:tcPr>
          <w:p w:rsidR="00640204" w:rsidRDefault="00640204" w:rsidP="00640204">
            <w:pPr>
              <w:pStyle w:val="BodyText"/>
              <w:spacing w:before="60" w:after="60"/>
            </w:pPr>
            <w:r>
              <w:lastRenderedPageBreak/>
              <w:t>First Gas</w:t>
            </w:r>
          </w:p>
        </w:tc>
        <w:tc>
          <w:tcPr>
            <w:tcW w:w="3969" w:type="dxa"/>
          </w:tcPr>
          <w:p w:rsidR="00640204" w:rsidRDefault="00640204" w:rsidP="00640204">
            <w:pPr>
              <w:pStyle w:val="BodyText"/>
              <w:spacing w:before="60" w:after="60"/>
              <w:jc w:val="left"/>
            </w:pPr>
            <w:r>
              <w:t xml:space="preserve">This matter has been raised with the Commerce Commission (although we have not yet had a response). Our interpretation (based on the input </w:t>
            </w:r>
            <w:r>
              <w:lastRenderedPageBreak/>
              <w:t>methodologies and the 2015 guidance letter) is that ERM fees are recoverable credits</w:t>
            </w:r>
          </w:p>
        </w:tc>
      </w:tr>
      <w:tr w:rsidR="00640204" w:rsidTr="008E6611">
        <w:tc>
          <w:tcPr>
            <w:tcW w:w="562" w:type="dxa"/>
          </w:tcPr>
          <w:p w:rsidR="00640204" w:rsidRDefault="00640204" w:rsidP="00640204">
            <w:pPr>
              <w:pStyle w:val="BodyText"/>
              <w:spacing w:before="60" w:after="60"/>
              <w:jc w:val="center"/>
            </w:pPr>
            <w:r>
              <w:lastRenderedPageBreak/>
              <w:t>37</w:t>
            </w:r>
          </w:p>
        </w:tc>
        <w:tc>
          <w:tcPr>
            <w:tcW w:w="2977" w:type="dxa"/>
          </w:tcPr>
          <w:p w:rsidR="00640204" w:rsidRDefault="00640204" w:rsidP="00640204">
            <w:pPr>
              <w:pStyle w:val="BodyText"/>
              <w:spacing w:before="60" w:after="60"/>
              <w:jc w:val="left"/>
            </w:pPr>
            <w:r>
              <w:t>Prescribe ERM fees in the GTAC (or at the very least principles and boundaries for these fees)</w:t>
            </w:r>
          </w:p>
        </w:tc>
        <w:tc>
          <w:tcPr>
            <w:tcW w:w="1701" w:type="dxa"/>
          </w:tcPr>
          <w:p w:rsidR="00640204" w:rsidRDefault="00640204" w:rsidP="00640204">
            <w:pPr>
              <w:pStyle w:val="BodyText"/>
              <w:spacing w:before="60" w:after="60"/>
            </w:pPr>
            <w:r>
              <w:t xml:space="preserve">First Gas </w:t>
            </w:r>
          </w:p>
        </w:tc>
        <w:tc>
          <w:tcPr>
            <w:tcW w:w="3969" w:type="dxa"/>
          </w:tcPr>
          <w:p w:rsidR="00640204" w:rsidRDefault="00640204" w:rsidP="00640204">
            <w:pPr>
              <w:pStyle w:val="BodyText"/>
              <w:spacing w:before="60" w:after="60"/>
              <w:jc w:val="left"/>
            </w:pPr>
            <w:r>
              <w:t>ERM fees have been set based on the current incentive fees charged under the MPOC</w:t>
            </w:r>
            <w:r w:rsidR="00533B6A">
              <w:t xml:space="preserve"> and recent market prices</w:t>
            </w:r>
            <w:r>
              <w:t>. Like overrun/underrun fees, we have added provision to change these fees where they are not achieving stated objectives</w:t>
            </w:r>
            <w:r w:rsidR="00533B6A">
              <w:t>, although with a shorter no</w:t>
            </w:r>
            <w:r w:rsidR="00511CDE">
              <w:t>tice period to reflect the near-</w:t>
            </w:r>
            <w:r w:rsidR="00533B6A">
              <w:t>term impacts of balancing incentives</w:t>
            </w:r>
          </w:p>
        </w:tc>
      </w:tr>
    </w:tbl>
    <w:p w:rsidR="008D1F6B" w:rsidRDefault="008D1F6B" w:rsidP="00F224B4"/>
    <w:p w:rsidR="00F224B4" w:rsidRPr="00580568" w:rsidRDefault="00F224B4" w:rsidP="00F224B4"/>
    <w:sectPr w:rsidR="00F224B4" w:rsidRPr="0058056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816" w:rsidRDefault="00E44816" w:rsidP="00F6451A">
      <w:pPr>
        <w:spacing w:after="0" w:line="240" w:lineRule="auto"/>
      </w:pPr>
      <w:r>
        <w:separator/>
      </w:r>
    </w:p>
  </w:endnote>
  <w:endnote w:type="continuationSeparator" w:id="0">
    <w:p w:rsidR="00E44816" w:rsidRDefault="00E44816" w:rsidP="00F6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27621"/>
      <w:docPartObj>
        <w:docPartGallery w:val="Page Numbers (Bottom of Page)"/>
        <w:docPartUnique/>
      </w:docPartObj>
    </w:sdtPr>
    <w:sdtEndPr>
      <w:rPr>
        <w:noProof/>
      </w:rPr>
    </w:sdtEndPr>
    <w:sdtContent>
      <w:p w:rsidR="002F435F" w:rsidRDefault="002F435F">
        <w:pPr>
          <w:pStyle w:val="Footer"/>
          <w:jc w:val="right"/>
        </w:pPr>
        <w:r>
          <w:fldChar w:fldCharType="begin"/>
        </w:r>
        <w:r>
          <w:instrText xml:space="preserve"> PAGE   \* MERGEFORMAT </w:instrText>
        </w:r>
        <w:r>
          <w:fldChar w:fldCharType="separate"/>
        </w:r>
        <w:r w:rsidR="00187B36">
          <w:rPr>
            <w:noProof/>
          </w:rPr>
          <w:t>7</w:t>
        </w:r>
        <w:r>
          <w:rPr>
            <w:noProof/>
          </w:rPr>
          <w:fldChar w:fldCharType="end"/>
        </w:r>
      </w:p>
    </w:sdtContent>
  </w:sdt>
  <w:p w:rsidR="002F435F" w:rsidRDefault="002F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816" w:rsidRDefault="00E44816" w:rsidP="00F6451A">
      <w:pPr>
        <w:spacing w:after="0" w:line="240" w:lineRule="auto"/>
      </w:pPr>
      <w:r>
        <w:separator/>
      </w:r>
    </w:p>
  </w:footnote>
  <w:footnote w:type="continuationSeparator" w:id="0">
    <w:p w:rsidR="00E44816" w:rsidRDefault="00E44816" w:rsidP="00F6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Default="002F435F">
    <w:pPr>
      <w:pStyle w:val="Header"/>
    </w:pPr>
    <w:r>
      <w:rPr>
        <w:noProof/>
        <w:lang w:eastAsia="en-NZ"/>
      </w:rPr>
      <w:drawing>
        <wp:anchor distT="0" distB="0" distL="114300" distR="114300" simplePos="0" relativeHeight="251658240" behindDoc="0" locked="0" layoutInCell="1" allowOverlap="1" wp14:anchorId="7A267B3D" wp14:editId="3152CBDF">
          <wp:simplePos x="0" y="0"/>
          <wp:positionH relativeFrom="column">
            <wp:posOffset>4425950</wp:posOffset>
          </wp:positionH>
          <wp:positionV relativeFrom="paragraph">
            <wp:posOffset>-144780</wp:posOffset>
          </wp:positionV>
          <wp:extent cx="1076325" cy="333375"/>
          <wp:effectExtent l="0" t="0" r="9525" b="9525"/>
          <wp:wrapSquare wrapText="bothSides"/>
          <wp:docPr id="4" name="Picture 4" descr="FirstGas RGB LOGO"/>
          <wp:cNvGraphicFramePr/>
          <a:graphic xmlns:a="http://schemas.openxmlformats.org/drawingml/2006/main">
            <a:graphicData uri="http://schemas.openxmlformats.org/drawingml/2006/picture">
              <pic:pic xmlns:pic="http://schemas.openxmlformats.org/drawingml/2006/picture">
                <pic:nvPicPr>
                  <pic:cNvPr id="1" name="Picture 1" descr="FirstGas RGB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anchor>
      </w:drawing>
    </w:r>
  </w:p>
  <w:p w:rsidR="002F435F" w:rsidRDefault="002F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DD4"/>
    <w:multiLevelType w:val="hybridMultilevel"/>
    <w:tmpl w:val="0B54E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853CA5"/>
    <w:multiLevelType w:val="hybridMultilevel"/>
    <w:tmpl w:val="AAAE8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B61F3D"/>
    <w:multiLevelType w:val="hybridMultilevel"/>
    <w:tmpl w:val="2EB8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FB2BB2"/>
    <w:multiLevelType w:val="hybridMultilevel"/>
    <w:tmpl w:val="80AE0A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81D1575"/>
    <w:multiLevelType w:val="hybridMultilevel"/>
    <w:tmpl w:val="D11CB3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AB05668"/>
    <w:multiLevelType w:val="hybridMultilevel"/>
    <w:tmpl w:val="5BF07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A40BED"/>
    <w:multiLevelType w:val="hybridMultilevel"/>
    <w:tmpl w:val="68B0C5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4613B62"/>
    <w:multiLevelType w:val="hybridMultilevel"/>
    <w:tmpl w:val="76AE6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A85E4D"/>
    <w:multiLevelType w:val="hybridMultilevel"/>
    <w:tmpl w:val="F4E81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4757E4"/>
    <w:multiLevelType w:val="hybridMultilevel"/>
    <w:tmpl w:val="1848F1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ED5ABF"/>
    <w:multiLevelType w:val="hybridMultilevel"/>
    <w:tmpl w:val="2B1A09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8B1BD0"/>
    <w:multiLevelType w:val="hybridMultilevel"/>
    <w:tmpl w:val="532649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B77368"/>
    <w:multiLevelType w:val="hybridMultilevel"/>
    <w:tmpl w:val="4822CD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72157D"/>
    <w:multiLevelType w:val="hybridMultilevel"/>
    <w:tmpl w:val="1A5C8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B714FF3"/>
    <w:multiLevelType w:val="hybridMultilevel"/>
    <w:tmpl w:val="CB2250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9C03FA"/>
    <w:multiLevelType w:val="hybridMultilevel"/>
    <w:tmpl w:val="773E26A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6BF8505D"/>
    <w:multiLevelType w:val="hybridMultilevel"/>
    <w:tmpl w:val="B1A47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CEF5B35"/>
    <w:multiLevelType w:val="hybridMultilevel"/>
    <w:tmpl w:val="8AF0A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EE18F1"/>
    <w:multiLevelType w:val="hybridMultilevel"/>
    <w:tmpl w:val="381019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004FDC"/>
    <w:multiLevelType w:val="hybridMultilevel"/>
    <w:tmpl w:val="EA0C6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8"/>
  </w:num>
  <w:num w:numId="4">
    <w:abstractNumId w:val="13"/>
  </w:num>
  <w:num w:numId="5">
    <w:abstractNumId w:val="7"/>
  </w:num>
  <w:num w:numId="6">
    <w:abstractNumId w:val="8"/>
  </w:num>
  <w:num w:numId="7">
    <w:abstractNumId w:val="3"/>
  </w:num>
  <w:num w:numId="8">
    <w:abstractNumId w:val="10"/>
  </w:num>
  <w:num w:numId="9">
    <w:abstractNumId w:val="17"/>
  </w:num>
  <w:num w:numId="10">
    <w:abstractNumId w:val="15"/>
  </w:num>
  <w:num w:numId="11">
    <w:abstractNumId w:val="11"/>
  </w:num>
  <w:num w:numId="12">
    <w:abstractNumId w:val="12"/>
  </w:num>
  <w:num w:numId="13">
    <w:abstractNumId w:val="0"/>
  </w:num>
  <w:num w:numId="14">
    <w:abstractNumId w:val="16"/>
  </w:num>
  <w:num w:numId="15">
    <w:abstractNumId w:val="1"/>
  </w:num>
  <w:num w:numId="16">
    <w:abstractNumId w:val="2"/>
  </w:num>
  <w:num w:numId="17">
    <w:abstractNumId w:val="19"/>
  </w:num>
  <w:num w:numId="18">
    <w:abstractNumId w:val="6"/>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59"/>
    <w:rsid w:val="00001A81"/>
    <w:rsid w:val="000126A0"/>
    <w:rsid w:val="0003063F"/>
    <w:rsid w:val="00073946"/>
    <w:rsid w:val="00077F85"/>
    <w:rsid w:val="00094B0C"/>
    <w:rsid w:val="000A5694"/>
    <w:rsid w:val="000B4284"/>
    <w:rsid w:val="000C6B2C"/>
    <w:rsid w:val="000D13E8"/>
    <w:rsid w:val="000D5EC5"/>
    <w:rsid w:val="00111636"/>
    <w:rsid w:val="001233E5"/>
    <w:rsid w:val="00144EA1"/>
    <w:rsid w:val="00151DA2"/>
    <w:rsid w:val="0017215E"/>
    <w:rsid w:val="001811FD"/>
    <w:rsid w:val="001816A4"/>
    <w:rsid w:val="001832E0"/>
    <w:rsid w:val="00187B36"/>
    <w:rsid w:val="001A37A4"/>
    <w:rsid w:val="001C20F6"/>
    <w:rsid w:val="001D3724"/>
    <w:rsid w:val="00220424"/>
    <w:rsid w:val="00230441"/>
    <w:rsid w:val="002509E0"/>
    <w:rsid w:val="00272549"/>
    <w:rsid w:val="00292567"/>
    <w:rsid w:val="00295186"/>
    <w:rsid w:val="002972AA"/>
    <w:rsid w:val="002B24F5"/>
    <w:rsid w:val="002B3431"/>
    <w:rsid w:val="002D147F"/>
    <w:rsid w:val="002F435F"/>
    <w:rsid w:val="0031439D"/>
    <w:rsid w:val="00345F15"/>
    <w:rsid w:val="00365B75"/>
    <w:rsid w:val="003671D9"/>
    <w:rsid w:val="003A09AA"/>
    <w:rsid w:val="003C649D"/>
    <w:rsid w:val="003E3744"/>
    <w:rsid w:val="003F1D4F"/>
    <w:rsid w:val="00431502"/>
    <w:rsid w:val="004476FD"/>
    <w:rsid w:val="00494D50"/>
    <w:rsid w:val="004D0E13"/>
    <w:rsid w:val="004F6015"/>
    <w:rsid w:val="00507608"/>
    <w:rsid w:val="00511CDE"/>
    <w:rsid w:val="00521614"/>
    <w:rsid w:val="0052359D"/>
    <w:rsid w:val="005260AA"/>
    <w:rsid w:val="00533B6A"/>
    <w:rsid w:val="005464FD"/>
    <w:rsid w:val="00580568"/>
    <w:rsid w:val="00582077"/>
    <w:rsid w:val="005A5ABF"/>
    <w:rsid w:val="005C2D78"/>
    <w:rsid w:val="0063423A"/>
    <w:rsid w:val="00640204"/>
    <w:rsid w:val="00662C61"/>
    <w:rsid w:val="00675DF9"/>
    <w:rsid w:val="0068672D"/>
    <w:rsid w:val="006B227C"/>
    <w:rsid w:val="006B77E7"/>
    <w:rsid w:val="006C2C2E"/>
    <w:rsid w:val="006E4854"/>
    <w:rsid w:val="006F0503"/>
    <w:rsid w:val="00703C59"/>
    <w:rsid w:val="00705335"/>
    <w:rsid w:val="007320EB"/>
    <w:rsid w:val="007413EC"/>
    <w:rsid w:val="0077460E"/>
    <w:rsid w:val="007860B1"/>
    <w:rsid w:val="007B79FD"/>
    <w:rsid w:val="007E77FD"/>
    <w:rsid w:val="00810181"/>
    <w:rsid w:val="00814B89"/>
    <w:rsid w:val="008157E5"/>
    <w:rsid w:val="0082293B"/>
    <w:rsid w:val="008260F3"/>
    <w:rsid w:val="00827953"/>
    <w:rsid w:val="00827E90"/>
    <w:rsid w:val="00844FDE"/>
    <w:rsid w:val="0086260F"/>
    <w:rsid w:val="00864FDD"/>
    <w:rsid w:val="0087162C"/>
    <w:rsid w:val="00883FB7"/>
    <w:rsid w:val="00887AB7"/>
    <w:rsid w:val="008951CD"/>
    <w:rsid w:val="008A29FB"/>
    <w:rsid w:val="008A5747"/>
    <w:rsid w:val="008D1F6B"/>
    <w:rsid w:val="008E6611"/>
    <w:rsid w:val="008F16A7"/>
    <w:rsid w:val="008F5C7D"/>
    <w:rsid w:val="00922D2F"/>
    <w:rsid w:val="009575B4"/>
    <w:rsid w:val="009B1E3E"/>
    <w:rsid w:val="009C2935"/>
    <w:rsid w:val="009E748B"/>
    <w:rsid w:val="009F4554"/>
    <w:rsid w:val="009F49EA"/>
    <w:rsid w:val="00A02082"/>
    <w:rsid w:val="00A067B2"/>
    <w:rsid w:val="00A07DC1"/>
    <w:rsid w:val="00A21437"/>
    <w:rsid w:val="00A23564"/>
    <w:rsid w:val="00A318D6"/>
    <w:rsid w:val="00A43205"/>
    <w:rsid w:val="00A51AAC"/>
    <w:rsid w:val="00A65FBB"/>
    <w:rsid w:val="00A73634"/>
    <w:rsid w:val="00B1130C"/>
    <w:rsid w:val="00B14305"/>
    <w:rsid w:val="00B26546"/>
    <w:rsid w:val="00B47FDF"/>
    <w:rsid w:val="00B9079D"/>
    <w:rsid w:val="00B97DED"/>
    <w:rsid w:val="00BA5E8A"/>
    <w:rsid w:val="00BD43B1"/>
    <w:rsid w:val="00BE0A06"/>
    <w:rsid w:val="00BF61B7"/>
    <w:rsid w:val="00BF75F0"/>
    <w:rsid w:val="00C43D9E"/>
    <w:rsid w:val="00C46EAB"/>
    <w:rsid w:val="00C539DC"/>
    <w:rsid w:val="00C63BAB"/>
    <w:rsid w:val="00C849BD"/>
    <w:rsid w:val="00CD4EF0"/>
    <w:rsid w:val="00CF2334"/>
    <w:rsid w:val="00D16474"/>
    <w:rsid w:val="00D17156"/>
    <w:rsid w:val="00D240C7"/>
    <w:rsid w:val="00D24457"/>
    <w:rsid w:val="00D3595D"/>
    <w:rsid w:val="00D524E7"/>
    <w:rsid w:val="00D617F0"/>
    <w:rsid w:val="00D66EAF"/>
    <w:rsid w:val="00D7649D"/>
    <w:rsid w:val="00D85A50"/>
    <w:rsid w:val="00D87DDA"/>
    <w:rsid w:val="00D92FB0"/>
    <w:rsid w:val="00DB5726"/>
    <w:rsid w:val="00DC29AC"/>
    <w:rsid w:val="00DC30EF"/>
    <w:rsid w:val="00DE0315"/>
    <w:rsid w:val="00DE2171"/>
    <w:rsid w:val="00E303A2"/>
    <w:rsid w:val="00E346A3"/>
    <w:rsid w:val="00E3725F"/>
    <w:rsid w:val="00E4192D"/>
    <w:rsid w:val="00E44816"/>
    <w:rsid w:val="00E7176C"/>
    <w:rsid w:val="00E72CA3"/>
    <w:rsid w:val="00E738FF"/>
    <w:rsid w:val="00EA40E6"/>
    <w:rsid w:val="00EA6F45"/>
    <w:rsid w:val="00ED75C1"/>
    <w:rsid w:val="00EE27CC"/>
    <w:rsid w:val="00F001AC"/>
    <w:rsid w:val="00F05ECC"/>
    <w:rsid w:val="00F16693"/>
    <w:rsid w:val="00F224B4"/>
    <w:rsid w:val="00F6451A"/>
    <w:rsid w:val="00F70CFF"/>
    <w:rsid w:val="00FA7AC3"/>
    <w:rsid w:val="00FD1009"/>
    <w:rsid w:val="00FF14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0BFE"/>
  <w15:chartTrackingRefBased/>
  <w15:docId w15:val="{3633B557-AA9C-49F5-916B-5492EA23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BodyText"/>
    <w:link w:val="Heading2Char"/>
    <w:qFormat/>
    <w:rsid w:val="00A21437"/>
    <w:pPr>
      <w:keepNext/>
      <w:spacing w:after="60" w:line="288" w:lineRule="auto"/>
      <w:outlineLvl w:val="1"/>
    </w:pPr>
    <w:rPr>
      <w:rFonts w:ascii="Arial" w:eastAsia="Times New Roman" w:hAnsi="Arial" w:cs="Times New Roman"/>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C59"/>
    <w:pPr>
      <w:ind w:left="720"/>
      <w:contextualSpacing/>
    </w:pPr>
  </w:style>
  <w:style w:type="paragraph" w:styleId="Header">
    <w:name w:val="header"/>
    <w:basedOn w:val="Normal"/>
    <w:link w:val="HeaderChar"/>
    <w:uiPriority w:val="99"/>
    <w:unhideWhenUsed/>
    <w:rsid w:val="00F64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51A"/>
  </w:style>
  <w:style w:type="paragraph" w:styleId="Footer">
    <w:name w:val="footer"/>
    <w:basedOn w:val="Normal"/>
    <w:link w:val="FooterChar"/>
    <w:uiPriority w:val="99"/>
    <w:unhideWhenUsed/>
    <w:rsid w:val="00F64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51A"/>
  </w:style>
  <w:style w:type="paragraph" w:customStyle="1" w:styleId="Default">
    <w:name w:val="Default"/>
    <w:rsid w:val="00ED75C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ED75C1"/>
    <w:pPr>
      <w:tabs>
        <w:tab w:val="left" w:pos="3495"/>
        <w:tab w:val="center" w:pos="4621"/>
      </w:tabs>
      <w:spacing w:after="120" w:line="288" w:lineRule="auto"/>
      <w:jc w:val="center"/>
    </w:pPr>
    <w:rPr>
      <w:rFonts w:ascii="Arial" w:eastAsia="Times New Roman" w:hAnsi="Arial" w:cs="Times New Roman"/>
      <w:b/>
      <w:bCs/>
      <w:caps/>
      <w:sz w:val="20"/>
      <w:szCs w:val="20"/>
      <w:lang w:eastAsia="en-GB"/>
    </w:rPr>
  </w:style>
  <w:style w:type="character" w:customStyle="1" w:styleId="TitleChar">
    <w:name w:val="Title Char"/>
    <w:basedOn w:val="DefaultParagraphFont"/>
    <w:link w:val="Title"/>
    <w:rsid w:val="00ED75C1"/>
    <w:rPr>
      <w:rFonts w:ascii="Arial" w:eastAsia="Times New Roman" w:hAnsi="Arial" w:cs="Times New Roman"/>
      <w:b/>
      <w:bCs/>
      <w:caps/>
      <w:sz w:val="20"/>
      <w:szCs w:val="20"/>
      <w:lang w:eastAsia="en-GB"/>
    </w:rPr>
  </w:style>
  <w:style w:type="paragraph" w:styleId="BodyText">
    <w:name w:val="Body Text"/>
    <w:basedOn w:val="Normal"/>
    <w:link w:val="BodyTextChar"/>
    <w:qFormat/>
    <w:rsid w:val="00ED75C1"/>
    <w:pPr>
      <w:tabs>
        <w:tab w:val="left" w:pos="851"/>
        <w:tab w:val="left" w:pos="1701"/>
        <w:tab w:val="left" w:pos="2552"/>
      </w:tabs>
      <w:spacing w:after="0" w:line="288"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D75C1"/>
    <w:rPr>
      <w:rFonts w:ascii="Arial" w:eastAsia="Times New Roman" w:hAnsi="Arial" w:cs="Times New Roman"/>
      <w:sz w:val="20"/>
      <w:szCs w:val="20"/>
    </w:rPr>
  </w:style>
  <w:style w:type="character" w:customStyle="1" w:styleId="Heading2Char">
    <w:name w:val="Heading 2 Char"/>
    <w:basedOn w:val="DefaultParagraphFont"/>
    <w:link w:val="Heading2"/>
    <w:rsid w:val="00A21437"/>
    <w:rPr>
      <w:rFonts w:ascii="Arial" w:eastAsia="Times New Roman" w:hAnsi="Arial" w:cs="Times New Roman"/>
      <w:b/>
      <w:sz w:val="19"/>
      <w:szCs w:val="19"/>
      <w:u w:val="single"/>
    </w:rPr>
  </w:style>
  <w:style w:type="paragraph" w:styleId="FootnoteText">
    <w:name w:val="footnote text"/>
    <w:basedOn w:val="Normal"/>
    <w:link w:val="FootnoteTextChar"/>
    <w:uiPriority w:val="99"/>
    <w:semiHidden/>
    <w:unhideWhenUsed/>
    <w:rsid w:val="007053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335"/>
    <w:rPr>
      <w:sz w:val="20"/>
      <w:szCs w:val="20"/>
    </w:rPr>
  </w:style>
  <w:style w:type="character" w:styleId="FootnoteReference">
    <w:name w:val="footnote reference"/>
    <w:basedOn w:val="DefaultParagraphFont"/>
    <w:uiPriority w:val="99"/>
    <w:semiHidden/>
    <w:unhideWhenUsed/>
    <w:rsid w:val="00705335"/>
    <w:rPr>
      <w:vertAlign w:val="superscript"/>
    </w:rPr>
  </w:style>
  <w:style w:type="character" w:styleId="Hyperlink">
    <w:name w:val="Hyperlink"/>
    <w:basedOn w:val="DefaultParagraphFont"/>
    <w:uiPriority w:val="99"/>
    <w:unhideWhenUsed/>
    <w:rsid w:val="00705335"/>
    <w:rPr>
      <w:color w:val="0563C1" w:themeColor="hyperlink"/>
      <w:u w:val="single"/>
    </w:rPr>
  </w:style>
  <w:style w:type="character" w:styleId="CommentReference">
    <w:name w:val="annotation reference"/>
    <w:basedOn w:val="DefaultParagraphFont"/>
    <w:uiPriority w:val="99"/>
    <w:semiHidden/>
    <w:unhideWhenUsed/>
    <w:rsid w:val="00827953"/>
    <w:rPr>
      <w:sz w:val="16"/>
      <w:szCs w:val="16"/>
    </w:rPr>
  </w:style>
  <w:style w:type="paragraph" w:styleId="CommentText">
    <w:name w:val="annotation text"/>
    <w:basedOn w:val="Normal"/>
    <w:link w:val="CommentTextChar"/>
    <w:uiPriority w:val="99"/>
    <w:semiHidden/>
    <w:unhideWhenUsed/>
    <w:rsid w:val="00827953"/>
    <w:pPr>
      <w:spacing w:line="240" w:lineRule="auto"/>
    </w:pPr>
    <w:rPr>
      <w:sz w:val="20"/>
      <w:szCs w:val="20"/>
    </w:rPr>
  </w:style>
  <w:style w:type="character" w:customStyle="1" w:styleId="CommentTextChar">
    <w:name w:val="Comment Text Char"/>
    <w:basedOn w:val="DefaultParagraphFont"/>
    <w:link w:val="CommentText"/>
    <w:uiPriority w:val="99"/>
    <w:semiHidden/>
    <w:rsid w:val="00827953"/>
    <w:rPr>
      <w:sz w:val="20"/>
      <w:szCs w:val="20"/>
    </w:rPr>
  </w:style>
  <w:style w:type="paragraph" w:styleId="CommentSubject">
    <w:name w:val="annotation subject"/>
    <w:basedOn w:val="CommentText"/>
    <w:next w:val="CommentText"/>
    <w:link w:val="CommentSubjectChar"/>
    <w:uiPriority w:val="99"/>
    <w:semiHidden/>
    <w:unhideWhenUsed/>
    <w:rsid w:val="00827953"/>
    <w:rPr>
      <w:b/>
      <w:bCs/>
    </w:rPr>
  </w:style>
  <w:style w:type="character" w:customStyle="1" w:styleId="CommentSubjectChar">
    <w:name w:val="Comment Subject Char"/>
    <w:basedOn w:val="CommentTextChar"/>
    <w:link w:val="CommentSubject"/>
    <w:uiPriority w:val="99"/>
    <w:semiHidden/>
    <w:rsid w:val="00827953"/>
    <w:rPr>
      <w:b/>
      <w:bCs/>
      <w:sz w:val="20"/>
      <w:szCs w:val="20"/>
    </w:rPr>
  </w:style>
  <w:style w:type="paragraph" w:styleId="BalloonText">
    <w:name w:val="Balloon Text"/>
    <w:basedOn w:val="Normal"/>
    <w:link w:val="BalloonTextChar"/>
    <w:uiPriority w:val="99"/>
    <w:semiHidden/>
    <w:unhideWhenUsed/>
    <w:rsid w:val="0082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953"/>
    <w:rPr>
      <w:rFonts w:ascii="Segoe UI" w:hAnsi="Segoe UI" w:cs="Segoe UI"/>
      <w:sz w:val="18"/>
      <w:szCs w:val="18"/>
    </w:rPr>
  </w:style>
  <w:style w:type="table" w:styleId="TableGrid">
    <w:name w:val="Table Grid"/>
    <w:basedOn w:val="TableNormal"/>
    <w:uiPriority w:val="39"/>
    <w:rsid w:val="009E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61B7"/>
    <w:pPr>
      <w:spacing w:after="0" w:line="240" w:lineRule="auto"/>
    </w:pPr>
  </w:style>
  <w:style w:type="character" w:styleId="Mention">
    <w:name w:val="Mention"/>
    <w:basedOn w:val="DefaultParagraphFont"/>
    <w:uiPriority w:val="99"/>
    <w:semiHidden/>
    <w:unhideWhenUsed/>
    <w:rsid w:val="00DE217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00684">
      <w:bodyDiv w:val="1"/>
      <w:marLeft w:val="0"/>
      <w:marRight w:val="0"/>
      <w:marTop w:val="0"/>
      <w:marBottom w:val="0"/>
      <w:divBdr>
        <w:top w:val="none" w:sz="0" w:space="0" w:color="auto"/>
        <w:left w:val="none" w:sz="0" w:space="0" w:color="auto"/>
        <w:bottom w:val="none" w:sz="0" w:space="0" w:color="auto"/>
        <w:right w:val="none" w:sz="0" w:space="0" w:color="auto"/>
      </w:divBdr>
    </w:div>
    <w:div w:id="1750225985">
      <w:bodyDiv w:val="1"/>
      <w:marLeft w:val="0"/>
      <w:marRight w:val="0"/>
      <w:marTop w:val="0"/>
      <w:marBottom w:val="0"/>
      <w:divBdr>
        <w:top w:val="none" w:sz="0" w:space="0" w:color="auto"/>
        <w:left w:val="none" w:sz="0" w:space="0" w:color="auto"/>
        <w:bottom w:val="none" w:sz="0" w:space="0" w:color="auto"/>
        <w:right w:val="none" w:sz="0" w:space="0" w:color="auto"/>
      </w:divBdr>
      <w:divsChild>
        <w:div w:id="259459915">
          <w:marLeft w:val="547"/>
          <w:marRight w:val="0"/>
          <w:marTop w:val="0"/>
          <w:marBottom w:val="120"/>
          <w:divBdr>
            <w:top w:val="none" w:sz="0" w:space="0" w:color="auto"/>
            <w:left w:val="none" w:sz="0" w:space="0" w:color="auto"/>
            <w:bottom w:val="none" w:sz="0" w:space="0" w:color="auto"/>
            <w:right w:val="none" w:sz="0" w:space="0" w:color="auto"/>
          </w:divBdr>
        </w:div>
        <w:div w:id="13017264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industry.co.nz/work-programmes/transmission-pipeline-access/developing/consultation-report-on-how-gas-industry-co-would-perform-a-gtac-change-requ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718DF7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9739-F5F9-4B76-BC58-AD2CAD9E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Gerritsen</dc:creator>
  <cp:keywords/>
  <dc:description/>
  <cp:lastModifiedBy>Ben Gerritsen</cp:lastModifiedBy>
  <cp:revision>5</cp:revision>
  <dcterms:created xsi:type="dcterms:W3CDTF">2017-09-11T07:54:00Z</dcterms:created>
  <dcterms:modified xsi:type="dcterms:W3CDTF">2017-09-11T22:43:00Z</dcterms:modified>
</cp:coreProperties>
</file>