
<file path=[Content_Types].xml><?xml version="1.0" encoding="utf-8"?>
<Types xmlns="http://schemas.openxmlformats.org/package/2006/content-types">
  <Default Extension="rels" ContentType="application/vnd.openxmlformats-package.relationships+xml"/>
  <Default Extension="xml" ContentType="application/xml"/>
  <Default Extension="1718DF7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C1" w:rsidRPr="0079607F" w:rsidRDefault="00F224B4" w:rsidP="002972AA">
      <w:pPr>
        <w:pStyle w:val="Title"/>
        <w:spacing w:after="360"/>
      </w:pPr>
      <w:r>
        <w:t>MEMORANDUM</w:t>
      </w:r>
    </w:p>
    <w:p w:rsidR="00ED75C1" w:rsidRPr="0092611E" w:rsidRDefault="00ED75C1" w:rsidP="00ED75C1">
      <w:pPr>
        <w:pStyle w:val="BodyText"/>
        <w:spacing w:after="120"/>
        <w:ind w:left="851" w:hanging="851"/>
      </w:pPr>
      <w:r w:rsidRPr="0092611E">
        <w:t>TO:</w:t>
      </w:r>
      <w:r w:rsidRPr="0092611E">
        <w:tab/>
      </w:r>
      <w:r w:rsidR="009575B4">
        <w:t>Pipeline Users</w:t>
      </w:r>
    </w:p>
    <w:p w:rsidR="00ED75C1" w:rsidRPr="0092611E" w:rsidRDefault="00ED75C1" w:rsidP="00ED75C1">
      <w:pPr>
        <w:pStyle w:val="BodyText"/>
        <w:spacing w:after="120"/>
        <w:ind w:left="851" w:hanging="851"/>
      </w:pPr>
      <w:r w:rsidRPr="0092611E">
        <w:t xml:space="preserve">FROM: </w:t>
      </w:r>
      <w:r w:rsidRPr="0092611E">
        <w:tab/>
      </w:r>
      <w:r w:rsidR="00533B6A">
        <w:t>First Gas</w:t>
      </w:r>
      <w:r>
        <w:t xml:space="preserve"> </w:t>
      </w:r>
    </w:p>
    <w:p w:rsidR="00ED75C1" w:rsidRPr="001F67E1" w:rsidRDefault="00ED75C1" w:rsidP="00ED75C1">
      <w:pPr>
        <w:pStyle w:val="BodyText"/>
        <w:spacing w:after="120"/>
        <w:ind w:left="851" w:hanging="851"/>
      </w:pPr>
      <w:r w:rsidRPr="0092611E">
        <w:t>DATE:</w:t>
      </w:r>
      <w:r w:rsidRPr="0092611E">
        <w:tab/>
      </w:r>
      <w:r w:rsidR="00F01531">
        <w:t>1</w:t>
      </w:r>
      <w:r w:rsidR="00844903">
        <w:t xml:space="preserve"> </w:t>
      </w:r>
      <w:r w:rsidR="00F01531">
        <w:t xml:space="preserve">December </w:t>
      </w:r>
      <w:r w:rsidR="005260AA">
        <w:t>2017</w:t>
      </w:r>
    </w:p>
    <w:p w:rsidR="00ED75C1" w:rsidRPr="00B14305" w:rsidRDefault="00ED75C1" w:rsidP="00B14305">
      <w:pPr>
        <w:pStyle w:val="BodyText"/>
        <w:ind w:left="851" w:hanging="851"/>
        <w:rPr>
          <w:b/>
          <w:bCs/>
          <w:lang w:val="en-US"/>
        </w:rPr>
      </w:pPr>
      <w:r w:rsidRPr="001F67E1">
        <w:t xml:space="preserve">RE: </w:t>
      </w:r>
      <w:r w:rsidRPr="001F67E1">
        <w:tab/>
      </w:r>
      <w:r w:rsidR="00E15E8A">
        <w:rPr>
          <w:b/>
          <w:bCs/>
          <w:lang w:val="en-US"/>
        </w:rPr>
        <w:t xml:space="preserve">Transmission Incentive </w:t>
      </w:r>
      <w:r w:rsidR="002668BA">
        <w:rPr>
          <w:b/>
          <w:bCs/>
          <w:lang w:val="en-US"/>
        </w:rPr>
        <w:t xml:space="preserve">Charge </w:t>
      </w:r>
      <w:r w:rsidR="00E15E8A">
        <w:rPr>
          <w:b/>
          <w:bCs/>
          <w:lang w:val="en-US"/>
        </w:rPr>
        <w:t>Rebates</w:t>
      </w:r>
      <w:r w:rsidR="002668BA">
        <w:rPr>
          <w:b/>
          <w:bCs/>
          <w:lang w:val="en-US"/>
        </w:rPr>
        <w:t xml:space="preserve"> </w:t>
      </w:r>
    </w:p>
    <w:p w:rsidR="00ED75C1" w:rsidRDefault="00ED75C1" w:rsidP="00E15E8A">
      <w:pPr>
        <w:pBdr>
          <w:bottom w:val="single" w:sz="4" w:space="1" w:color="auto"/>
        </w:pBdr>
        <w:tabs>
          <w:tab w:val="left" w:pos="1418"/>
        </w:tabs>
        <w:spacing w:after="240" w:line="252" w:lineRule="auto"/>
        <w:ind w:left="1418" w:hanging="1418"/>
        <w:rPr>
          <w:rFonts w:cs="Arial"/>
          <w:bCs/>
        </w:rPr>
      </w:pPr>
    </w:p>
    <w:p w:rsidR="00E15E8A" w:rsidRDefault="00371559" w:rsidP="00E15E8A">
      <w:pPr>
        <w:pStyle w:val="BodyText"/>
        <w:spacing w:after="120"/>
        <w:rPr>
          <w:rFonts w:cs="Arial"/>
          <w:bCs/>
        </w:rPr>
      </w:pPr>
      <w:r>
        <w:rPr>
          <w:rFonts w:cs="Arial"/>
          <w:bCs/>
        </w:rPr>
        <w:t>At the GTAC</w:t>
      </w:r>
      <w:r w:rsidR="00E15E8A" w:rsidRPr="00E15E8A">
        <w:rPr>
          <w:rFonts w:cs="Arial"/>
          <w:bCs/>
        </w:rPr>
        <w:t xml:space="preserve"> workshop on 17 November</w:t>
      </w:r>
      <w:r w:rsidR="00E15E8A">
        <w:rPr>
          <w:rFonts w:cs="Arial"/>
          <w:bCs/>
        </w:rPr>
        <w:t xml:space="preserve"> 2017</w:t>
      </w:r>
      <w:r w:rsidR="00E15E8A" w:rsidRPr="00E15E8A">
        <w:rPr>
          <w:rFonts w:cs="Arial"/>
          <w:bCs/>
        </w:rPr>
        <w:t>,</w:t>
      </w:r>
      <w:r w:rsidR="00E15E8A">
        <w:rPr>
          <w:rFonts w:cs="Arial"/>
          <w:bCs/>
        </w:rPr>
        <w:t xml:space="preserve"> First Gas agreed to summarise its proposal to rebate transmission </w:t>
      </w:r>
      <w:r w:rsidR="00E15E8A" w:rsidRPr="00E15E8A">
        <w:t>incentive</w:t>
      </w:r>
      <w:r w:rsidR="00E15E8A">
        <w:rPr>
          <w:rFonts w:cs="Arial"/>
          <w:bCs/>
        </w:rPr>
        <w:t xml:space="preserve"> </w:t>
      </w:r>
      <w:r w:rsidR="002668BA">
        <w:rPr>
          <w:rFonts w:cs="Arial"/>
          <w:bCs/>
        </w:rPr>
        <w:t xml:space="preserve">charges </w:t>
      </w:r>
      <w:r w:rsidR="002D67D8">
        <w:rPr>
          <w:rFonts w:cs="Arial"/>
          <w:bCs/>
        </w:rPr>
        <w:t>under the GTAC</w:t>
      </w:r>
      <w:r w:rsidR="002668BA">
        <w:rPr>
          <w:rFonts w:cs="Arial"/>
          <w:bCs/>
        </w:rPr>
        <w:t xml:space="preserve"> in the month they occur</w:t>
      </w:r>
      <w:r w:rsidR="00E15E8A">
        <w:rPr>
          <w:rFonts w:cs="Arial"/>
          <w:bCs/>
        </w:rPr>
        <w:t>.</w:t>
      </w:r>
      <w:r w:rsidR="00E15E8A" w:rsidRPr="00E15E8A">
        <w:rPr>
          <w:rFonts w:cs="Arial"/>
          <w:bCs/>
        </w:rPr>
        <w:t xml:space="preserve"> </w:t>
      </w:r>
      <w:r w:rsidR="002D0187">
        <w:rPr>
          <w:rFonts w:cs="Arial"/>
          <w:bCs/>
        </w:rPr>
        <w:t xml:space="preserve">This change was given effect to by </w:t>
      </w:r>
      <w:r w:rsidR="002668BA">
        <w:rPr>
          <w:rFonts w:cs="Arial"/>
          <w:bCs/>
        </w:rPr>
        <w:t>mark-ups to</w:t>
      </w:r>
      <w:r w:rsidR="002D0187">
        <w:rPr>
          <w:rFonts w:cs="Arial"/>
          <w:bCs/>
        </w:rPr>
        <w:t xml:space="preserve"> section 11.13 of the Second Revised Draft GTAC </w:t>
      </w:r>
      <w:r w:rsidR="002668BA">
        <w:rPr>
          <w:rFonts w:cs="Arial"/>
          <w:bCs/>
        </w:rPr>
        <w:t xml:space="preserve">providing for </w:t>
      </w:r>
      <w:r w:rsidR="002D0187">
        <w:t xml:space="preserve">total Daily Overrun Charges, Underrun Charges, Hourly Overrun Charges and Over-Flow Charges to </w:t>
      </w:r>
      <w:r w:rsidR="002668BA">
        <w:t>be credited to shippers each month pro-</w:t>
      </w:r>
      <w:r w:rsidR="002D0187">
        <w:t xml:space="preserve">rata </w:t>
      </w:r>
      <w:r w:rsidR="002668BA">
        <w:t xml:space="preserve">on </w:t>
      </w:r>
      <w:r w:rsidR="002D0187">
        <w:t>DNC charges</w:t>
      </w:r>
      <w:r w:rsidR="002668BA">
        <w:t xml:space="preserve"> to each shipper</w:t>
      </w:r>
      <w:r w:rsidR="002D0187">
        <w:t>.</w:t>
      </w:r>
    </w:p>
    <w:p w:rsidR="001360DC" w:rsidRDefault="002D0187" w:rsidP="00E15E8A">
      <w:pPr>
        <w:pStyle w:val="BodyText"/>
        <w:spacing w:after="120"/>
        <w:rPr>
          <w:rFonts w:cs="Arial"/>
          <w:bCs/>
        </w:rPr>
      </w:pPr>
      <w:r>
        <w:rPr>
          <w:rFonts w:cs="Arial"/>
          <w:bCs/>
        </w:rPr>
        <w:t>First Gas see three benefits from making this change</w:t>
      </w:r>
      <w:r w:rsidR="001360DC">
        <w:rPr>
          <w:rFonts w:cs="Arial"/>
          <w:bCs/>
        </w:rPr>
        <w:t>:</w:t>
      </w:r>
    </w:p>
    <w:p w:rsidR="001360DC" w:rsidRDefault="002D0187" w:rsidP="001360DC">
      <w:pPr>
        <w:pStyle w:val="BodyText"/>
        <w:numPr>
          <w:ilvl w:val="0"/>
          <w:numId w:val="21"/>
        </w:numPr>
        <w:spacing w:after="120"/>
        <w:rPr>
          <w:rFonts w:cs="Arial"/>
          <w:bCs/>
        </w:rPr>
      </w:pPr>
      <w:r>
        <w:rPr>
          <w:rFonts w:cs="Arial"/>
          <w:bCs/>
        </w:rPr>
        <w:t xml:space="preserve">It </w:t>
      </w:r>
      <w:r w:rsidR="001360DC">
        <w:rPr>
          <w:rFonts w:cs="Arial"/>
          <w:bCs/>
        </w:rPr>
        <w:t>direct</w:t>
      </w:r>
      <w:r>
        <w:rPr>
          <w:rFonts w:cs="Arial"/>
          <w:bCs/>
        </w:rPr>
        <w:t>ly recycles</w:t>
      </w:r>
      <w:r w:rsidR="001360DC">
        <w:rPr>
          <w:rFonts w:cs="Arial"/>
          <w:bCs/>
        </w:rPr>
        <w:t xml:space="preserve"> </w:t>
      </w:r>
      <w:r>
        <w:rPr>
          <w:rFonts w:cs="Arial"/>
          <w:bCs/>
        </w:rPr>
        <w:t xml:space="preserve">incentive charge </w:t>
      </w:r>
      <w:r w:rsidR="001360DC">
        <w:rPr>
          <w:rFonts w:cs="Arial"/>
          <w:bCs/>
        </w:rPr>
        <w:t>revenue</w:t>
      </w:r>
      <w:r>
        <w:rPr>
          <w:rFonts w:cs="Arial"/>
          <w:bCs/>
        </w:rPr>
        <w:t xml:space="preserve"> at the time the charges are incurred</w:t>
      </w:r>
      <w:r w:rsidR="001360DC">
        <w:rPr>
          <w:rFonts w:cs="Arial"/>
          <w:bCs/>
        </w:rPr>
        <w:t xml:space="preserve">, rather than </w:t>
      </w:r>
      <w:r>
        <w:rPr>
          <w:rFonts w:cs="Arial"/>
          <w:bCs/>
        </w:rPr>
        <w:t xml:space="preserve">requiring shippers to wait until subsequent </w:t>
      </w:r>
      <w:r w:rsidR="001360DC">
        <w:rPr>
          <w:rFonts w:cs="Arial"/>
          <w:bCs/>
        </w:rPr>
        <w:t>regulatory years</w:t>
      </w:r>
      <w:r>
        <w:rPr>
          <w:rFonts w:cs="Arial"/>
          <w:bCs/>
        </w:rPr>
        <w:t xml:space="preserve"> for the revenue to be recycled (via the First Gas revenue cap wash-up account). This avoids any intertemporal issues that arise from parties entering or existing the gas industry, and provides a more direct benefit to parties that manage their transmission system use </w:t>
      </w:r>
      <w:r w:rsidR="003D1562">
        <w:rPr>
          <w:rFonts w:cs="Arial"/>
          <w:bCs/>
        </w:rPr>
        <w:t>well during the month.</w:t>
      </w:r>
    </w:p>
    <w:p w:rsidR="001360DC" w:rsidRDefault="003D1562" w:rsidP="001360DC">
      <w:pPr>
        <w:pStyle w:val="BodyText"/>
        <w:numPr>
          <w:ilvl w:val="0"/>
          <w:numId w:val="21"/>
        </w:numPr>
        <w:spacing w:after="120"/>
        <w:rPr>
          <w:rFonts w:cs="Arial"/>
          <w:bCs/>
        </w:rPr>
      </w:pPr>
      <w:r>
        <w:rPr>
          <w:rFonts w:cs="Arial"/>
          <w:bCs/>
        </w:rPr>
        <w:t>It a</w:t>
      </w:r>
      <w:r w:rsidR="001360DC">
        <w:rPr>
          <w:rFonts w:cs="Arial"/>
          <w:bCs/>
        </w:rPr>
        <w:t xml:space="preserve">voids the need for First Gas to forecast revenue </w:t>
      </w:r>
      <w:r>
        <w:rPr>
          <w:rFonts w:cs="Arial"/>
          <w:bCs/>
        </w:rPr>
        <w:t xml:space="preserve">to be </w:t>
      </w:r>
      <w:r w:rsidR="001360DC">
        <w:rPr>
          <w:rFonts w:cs="Arial"/>
          <w:bCs/>
        </w:rPr>
        <w:t>earned from incentive charges</w:t>
      </w:r>
      <w:r>
        <w:rPr>
          <w:rFonts w:cs="Arial"/>
          <w:bCs/>
        </w:rPr>
        <w:t xml:space="preserve"> in a regulatory year</w:t>
      </w:r>
      <w:r w:rsidR="001360DC">
        <w:rPr>
          <w:rFonts w:cs="Arial"/>
          <w:bCs/>
        </w:rPr>
        <w:t xml:space="preserve">, which can vary considerably from year to year and are largely outside </w:t>
      </w:r>
      <w:r>
        <w:rPr>
          <w:rFonts w:cs="Arial"/>
          <w:bCs/>
        </w:rPr>
        <w:t xml:space="preserve">our </w:t>
      </w:r>
      <w:r w:rsidR="001360DC">
        <w:rPr>
          <w:rFonts w:cs="Arial"/>
          <w:bCs/>
        </w:rPr>
        <w:t>control</w:t>
      </w:r>
      <w:r>
        <w:rPr>
          <w:rFonts w:cs="Arial"/>
          <w:bCs/>
        </w:rPr>
        <w:t xml:space="preserve">. This forecasting task would be particularly </w:t>
      </w:r>
      <w:r w:rsidR="002668BA">
        <w:rPr>
          <w:rFonts w:cs="Arial"/>
          <w:bCs/>
        </w:rPr>
        <w:t>challenging</w:t>
      </w:r>
      <w:r>
        <w:rPr>
          <w:rFonts w:cs="Arial"/>
          <w:bCs/>
        </w:rPr>
        <w:t xml:space="preserve"> in the f</w:t>
      </w:r>
      <w:r w:rsidR="002668BA">
        <w:rPr>
          <w:rFonts w:cs="Arial"/>
          <w:bCs/>
        </w:rPr>
        <w:t>irst year that the GTAC applies</w:t>
      </w:r>
      <w:r>
        <w:rPr>
          <w:rFonts w:cs="Arial"/>
          <w:bCs/>
        </w:rPr>
        <w:t xml:space="preserve"> given the lack of experience on how well parties can manage daily </w:t>
      </w:r>
      <w:r w:rsidR="002668BA">
        <w:rPr>
          <w:rFonts w:cs="Arial"/>
          <w:bCs/>
        </w:rPr>
        <w:t xml:space="preserve">GTAC </w:t>
      </w:r>
      <w:r>
        <w:rPr>
          <w:rFonts w:cs="Arial"/>
          <w:bCs/>
        </w:rPr>
        <w:t xml:space="preserve">nominations and </w:t>
      </w:r>
      <w:r w:rsidR="002668BA">
        <w:rPr>
          <w:rFonts w:cs="Arial"/>
          <w:bCs/>
        </w:rPr>
        <w:t xml:space="preserve">maximum </w:t>
      </w:r>
      <w:r>
        <w:rPr>
          <w:rFonts w:cs="Arial"/>
          <w:bCs/>
        </w:rPr>
        <w:t>hourly</w:t>
      </w:r>
      <w:r w:rsidR="002668BA">
        <w:rPr>
          <w:rFonts w:cs="Arial"/>
          <w:bCs/>
        </w:rPr>
        <w:t xml:space="preserve"> quantities at dedicated delivery points</w:t>
      </w:r>
      <w:r>
        <w:rPr>
          <w:rFonts w:cs="Arial"/>
          <w:bCs/>
        </w:rPr>
        <w:t>.</w:t>
      </w:r>
    </w:p>
    <w:p w:rsidR="00AD1E25" w:rsidRDefault="003D1562" w:rsidP="001360DC">
      <w:pPr>
        <w:pStyle w:val="BodyText"/>
        <w:numPr>
          <w:ilvl w:val="0"/>
          <w:numId w:val="21"/>
        </w:numPr>
        <w:spacing w:after="120"/>
        <w:rPr>
          <w:rFonts w:cs="Arial"/>
          <w:bCs/>
        </w:rPr>
      </w:pPr>
      <w:r>
        <w:rPr>
          <w:rFonts w:cs="Arial"/>
          <w:bCs/>
        </w:rPr>
        <w:t>It a</w:t>
      </w:r>
      <w:r w:rsidR="00AD1E25">
        <w:rPr>
          <w:rFonts w:cs="Arial"/>
          <w:bCs/>
        </w:rPr>
        <w:t xml:space="preserve">pplies the same approach </w:t>
      </w:r>
      <w:r w:rsidR="00F01531">
        <w:rPr>
          <w:rFonts w:cs="Arial"/>
          <w:bCs/>
        </w:rPr>
        <w:t xml:space="preserve">as proposed for </w:t>
      </w:r>
      <w:r w:rsidR="002668BA">
        <w:rPr>
          <w:rFonts w:cs="Arial"/>
          <w:bCs/>
        </w:rPr>
        <w:t xml:space="preserve">recycling </w:t>
      </w:r>
      <w:r w:rsidR="00F01531">
        <w:rPr>
          <w:rFonts w:cs="Arial"/>
          <w:bCs/>
        </w:rPr>
        <w:t xml:space="preserve">PR </w:t>
      </w:r>
      <w:r w:rsidR="002668BA">
        <w:rPr>
          <w:rFonts w:cs="Arial"/>
          <w:bCs/>
        </w:rPr>
        <w:t>revenue</w:t>
      </w:r>
      <w:r>
        <w:rPr>
          <w:rFonts w:cs="Arial"/>
          <w:bCs/>
        </w:rPr>
        <w:t>, and therefore provides a consistent approach to crediting all non-DNC transmission charges</w:t>
      </w:r>
      <w:r w:rsidR="00F01531">
        <w:rPr>
          <w:rFonts w:cs="Arial"/>
          <w:bCs/>
        </w:rPr>
        <w:t xml:space="preserve"> pro-rata on DNC charges</w:t>
      </w:r>
      <w:r w:rsidR="00AD1E25">
        <w:rPr>
          <w:rFonts w:cs="Arial"/>
          <w:bCs/>
        </w:rPr>
        <w:t>.</w:t>
      </w:r>
    </w:p>
    <w:p w:rsidR="00922379" w:rsidRPr="00922379" w:rsidRDefault="002668BA" w:rsidP="00E15E8A">
      <w:pPr>
        <w:pStyle w:val="BodyText"/>
        <w:spacing w:after="120"/>
        <w:rPr>
          <w:rFonts w:cs="Arial"/>
          <w:b/>
          <w:bCs/>
        </w:rPr>
      </w:pPr>
      <w:r>
        <w:rPr>
          <w:rFonts w:cs="Arial"/>
          <w:b/>
          <w:bCs/>
        </w:rPr>
        <w:t>Worked example of crediting transmission incentive charges</w:t>
      </w:r>
    </w:p>
    <w:p w:rsidR="00AA2F5F" w:rsidRDefault="00DD15AC" w:rsidP="00E15E8A">
      <w:pPr>
        <w:pStyle w:val="BodyText"/>
        <w:spacing w:after="120"/>
        <w:rPr>
          <w:rFonts w:cs="Arial"/>
          <w:bCs/>
        </w:rPr>
      </w:pPr>
      <w:r>
        <w:rPr>
          <w:rFonts w:cs="Arial"/>
          <w:bCs/>
        </w:rPr>
        <w:t>The following tables</w:t>
      </w:r>
      <w:r w:rsidR="00AA2F5F">
        <w:rPr>
          <w:rFonts w:cs="Arial"/>
          <w:bCs/>
        </w:rPr>
        <w:t xml:space="preserve"> illustrate how the proposed credits compare with curr</w:t>
      </w:r>
      <w:r w:rsidR="00F01531">
        <w:rPr>
          <w:rFonts w:cs="Arial"/>
          <w:bCs/>
        </w:rPr>
        <w:t>ent arrangements that</w:t>
      </w:r>
      <w:r w:rsidR="00AA2F5F">
        <w:rPr>
          <w:rFonts w:cs="Arial"/>
          <w:bCs/>
        </w:rPr>
        <w:t xml:space="preserve"> </w:t>
      </w:r>
      <w:r w:rsidR="002668BA">
        <w:rPr>
          <w:rFonts w:cs="Arial"/>
          <w:bCs/>
        </w:rPr>
        <w:t xml:space="preserve">recycle </w:t>
      </w:r>
      <w:r w:rsidR="00AA2F5F">
        <w:rPr>
          <w:rFonts w:cs="Arial"/>
          <w:bCs/>
        </w:rPr>
        <w:t xml:space="preserve">over-recovery of revenue, based on the scenario </w:t>
      </w:r>
      <w:r w:rsidR="002668BA">
        <w:rPr>
          <w:rFonts w:cs="Arial"/>
          <w:bCs/>
        </w:rPr>
        <w:t xml:space="preserve">presented </w:t>
      </w:r>
      <w:r w:rsidR="00AA2F5F">
        <w:rPr>
          <w:rFonts w:cs="Arial"/>
          <w:bCs/>
        </w:rPr>
        <w:t>at the November workshops. The key facts in this scenario are:</w:t>
      </w:r>
    </w:p>
    <w:p w:rsidR="00AA2F5F" w:rsidRDefault="00AA2F5F" w:rsidP="00E15E8A">
      <w:pPr>
        <w:pStyle w:val="BodyText"/>
        <w:numPr>
          <w:ilvl w:val="0"/>
          <w:numId w:val="23"/>
        </w:numPr>
        <w:spacing w:after="120"/>
        <w:rPr>
          <w:rFonts w:cs="Arial"/>
          <w:bCs/>
        </w:rPr>
      </w:pPr>
      <w:r>
        <w:rPr>
          <w:rFonts w:cs="Arial"/>
          <w:bCs/>
        </w:rPr>
        <w:t xml:space="preserve">First Gas has a revenue cap of $120m per year, and expects to earn $20m from Supplementary capacity, $90m from standard capacity products, and $10m </w:t>
      </w:r>
      <w:r w:rsidR="002668BA">
        <w:rPr>
          <w:rFonts w:cs="Arial"/>
          <w:bCs/>
        </w:rPr>
        <w:t xml:space="preserve">from </w:t>
      </w:r>
      <w:r w:rsidR="00F01531">
        <w:rPr>
          <w:rFonts w:cs="Arial"/>
          <w:bCs/>
        </w:rPr>
        <w:t xml:space="preserve">transmission </w:t>
      </w:r>
      <w:r>
        <w:rPr>
          <w:rFonts w:cs="Arial"/>
          <w:bCs/>
        </w:rPr>
        <w:t xml:space="preserve">incentive </w:t>
      </w:r>
      <w:r w:rsidR="002668BA">
        <w:rPr>
          <w:rFonts w:cs="Arial"/>
          <w:bCs/>
        </w:rPr>
        <w:t>charges</w:t>
      </w:r>
    </w:p>
    <w:p w:rsidR="003D1562" w:rsidRDefault="00AA2F5F" w:rsidP="00E15E8A">
      <w:pPr>
        <w:pStyle w:val="BodyText"/>
        <w:numPr>
          <w:ilvl w:val="0"/>
          <w:numId w:val="23"/>
        </w:numPr>
        <w:spacing w:after="120"/>
        <w:rPr>
          <w:rFonts w:cs="Arial"/>
          <w:bCs/>
        </w:rPr>
      </w:pPr>
      <w:r>
        <w:rPr>
          <w:rFonts w:cs="Arial"/>
          <w:bCs/>
        </w:rPr>
        <w:t>F</w:t>
      </w:r>
      <w:r w:rsidRPr="00AA2F5F">
        <w:rPr>
          <w:rFonts w:cs="Arial"/>
          <w:bCs/>
        </w:rPr>
        <w:t>or reason</w:t>
      </w:r>
      <w:r>
        <w:rPr>
          <w:rFonts w:cs="Arial"/>
          <w:bCs/>
        </w:rPr>
        <w:t>s unknown,</w:t>
      </w:r>
      <w:r w:rsidR="002668BA">
        <w:rPr>
          <w:rFonts w:cs="Arial"/>
          <w:bCs/>
        </w:rPr>
        <w:t xml:space="preserve"> s</w:t>
      </w:r>
      <w:r w:rsidRPr="00AA2F5F">
        <w:rPr>
          <w:rFonts w:cs="Arial"/>
          <w:bCs/>
        </w:rPr>
        <w:t xml:space="preserve">hippers </w:t>
      </w:r>
      <w:r>
        <w:rPr>
          <w:rFonts w:cs="Arial"/>
          <w:bCs/>
        </w:rPr>
        <w:t xml:space="preserve">incur transmission incentive charges of </w:t>
      </w:r>
      <w:r w:rsidRPr="00AA2F5F">
        <w:rPr>
          <w:rFonts w:cs="Arial"/>
          <w:bCs/>
        </w:rPr>
        <w:t>$</w:t>
      </w:r>
      <w:r>
        <w:rPr>
          <w:rFonts w:cs="Arial"/>
          <w:bCs/>
        </w:rPr>
        <w:t>1</w:t>
      </w:r>
      <w:r w:rsidRPr="00AA2F5F">
        <w:rPr>
          <w:rFonts w:cs="Arial"/>
          <w:bCs/>
        </w:rPr>
        <w:t>5m</w:t>
      </w:r>
      <w:r>
        <w:rPr>
          <w:rFonts w:cs="Arial"/>
          <w:bCs/>
        </w:rPr>
        <w:t xml:space="preserve"> in the first year of the regulatory period ($5m higher than forecast by First Gas)</w:t>
      </w:r>
    </w:p>
    <w:p w:rsidR="00AA2F5F" w:rsidRDefault="00AA2F5F" w:rsidP="00E15E8A">
      <w:pPr>
        <w:pStyle w:val="BodyText"/>
        <w:numPr>
          <w:ilvl w:val="0"/>
          <w:numId w:val="23"/>
        </w:numPr>
        <w:spacing w:after="120"/>
        <w:rPr>
          <w:rFonts w:cs="Arial"/>
          <w:bCs/>
        </w:rPr>
      </w:pPr>
      <w:r>
        <w:rPr>
          <w:rFonts w:cs="Arial"/>
          <w:bCs/>
        </w:rPr>
        <w:t>For simplicity, this scenario ignores the effect of time value of money adjustments</w:t>
      </w:r>
      <w:r w:rsidR="002668BA">
        <w:rPr>
          <w:rFonts w:cs="Arial"/>
          <w:bCs/>
        </w:rPr>
        <w:t xml:space="preserve"> (which are required under the Part 4 input methodologies)</w:t>
      </w:r>
      <w:r>
        <w:rPr>
          <w:rFonts w:cs="Arial"/>
          <w:bCs/>
        </w:rPr>
        <w:t>.</w:t>
      </w:r>
    </w:p>
    <w:p w:rsidR="00AA2F5F" w:rsidRPr="00AA2F5F" w:rsidRDefault="00AA2F5F" w:rsidP="00AA2F5F">
      <w:pPr>
        <w:pStyle w:val="BodyText"/>
        <w:spacing w:after="120"/>
        <w:rPr>
          <w:rFonts w:cs="Arial"/>
          <w:bCs/>
        </w:rPr>
      </w:pPr>
      <w:r>
        <w:rPr>
          <w:rFonts w:cs="Arial"/>
          <w:bCs/>
        </w:rPr>
        <w:t xml:space="preserve">Table 1 traces through how the additional revenue earned from transmission incentive </w:t>
      </w:r>
      <w:r w:rsidR="002668BA">
        <w:rPr>
          <w:rFonts w:cs="Arial"/>
          <w:bCs/>
        </w:rPr>
        <w:t xml:space="preserve">charges </w:t>
      </w:r>
      <w:r>
        <w:rPr>
          <w:rFonts w:cs="Arial"/>
          <w:bCs/>
        </w:rPr>
        <w:t xml:space="preserve">finds its way back to Shippers under current arrangements (and </w:t>
      </w:r>
      <w:r w:rsidR="002668BA">
        <w:rPr>
          <w:rFonts w:cs="Arial"/>
          <w:bCs/>
        </w:rPr>
        <w:t xml:space="preserve">as </w:t>
      </w:r>
      <w:r>
        <w:rPr>
          <w:rFonts w:cs="Arial"/>
          <w:bCs/>
        </w:rPr>
        <w:t>proposed under the GTAC</w:t>
      </w:r>
      <w:r w:rsidR="002668BA">
        <w:rPr>
          <w:rFonts w:cs="Arial"/>
          <w:bCs/>
        </w:rPr>
        <w:t xml:space="preserve"> before the recent changes</w:t>
      </w:r>
      <w:r>
        <w:rPr>
          <w:rFonts w:cs="Arial"/>
          <w:bCs/>
        </w:rPr>
        <w:t xml:space="preserve">). In effect, the additional $5m of incentive charges </w:t>
      </w:r>
      <w:r w:rsidR="002668BA">
        <w:rPr>
          <w:rFonts w:cs="Arial"/>
          <w:bCs/>
        </w:rPr>
        <w:t xml:space="preserve">is </w:t>
      </w:r>
      <w:r>
        <w:rPr>
          <w:rFonts w:cs="Arial"/>
          <w:bCs/>
        </w:rPr>
        <w:t xml:space="preserve">returned through lower standard transmission fees in year 3 of the regulatory period. This credit occurs in year 3 </w:t>
      </w:r>
      <w:r w:rsidR="002668BA">
        <w:rPr>
          <w:rFonts w:cs="Arial"/>
          <w:bCs/>
        </w:rPr>
        <w:t>(</w:t>
      </w:r>
      <w:r>
        <w:rPr>
          <w:rFonts w:cs="Arial"/>
          <w:bCs/>
        </w:rPr>
        <w:t>rather than year 2</w:t>
      </w:r>
      <w:r w:rsidR="002668BA">
        <w:rPr>
          <w:rFonts w:cs="Arial"/>
          <w:bCs/>
        </w:rPr>
        <w:t>)</w:t>
      </w:r>
      <w:r>
        <w:rPr>
          <w:rFonts w:cs="Arial"/>
          <w:bCs/>
        </w:rPr>
        <w:t xml:space="preserve"> because the final revenues from </w:t>
      </w:r>
      <w:r w:rsidR="00922379">
        <w:rPr>
          <w:rFonts w:cs="Arial"/>
          <w:bCs/>
        </w:rPr>
        <w:t xml:space="preserve">transmission incentive fees are not known </w:t>
      </w:r>
      <w:r w:rsidR="00F01531">
        <w:rPr>
          <w:rFonts w:cs="Arial"/>
          <w:bCs/>
        </w:rPr>
        <w:t xml:space="preserve">when </w:t>
      </w:r>
      <w:r w:rsidR="00922379">
        <w:rPr>
          <w:rFonts w:cs="Arial"/>
          <w:bCs/>
        </w:rPr>
        <w:t xml:space="preserve">prices for year 2 are set. </w:t>
      </w:r>
    </w:p>
    <w:tbl>
      <w:tblPr>
        <w:tblStyle w:val="TableGrid"/>
        <w:tblW w:w="8759" w:type="dxa"/>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1276"/>
        <w:gridCol w:w="1275"/>
        <w:gridCol w:w="1134"/>
        <w:gridCol w:w="1134"/>
        <w:gridCol w:w="1088"/>
        <w:gridCol w:w="17"/>
      </w:tblGrid>
      <w:tr w:rsidR="00DD15AC" w:rsidTr="00DD15AC">
        <w:trPr>
          <w:gridAfter w:val="1"/>
          <w:wAfter w:w="17" w:type="dxa"/>
        </w:trPr>
        <w:tc>
          <w:tcPr>
            <w:tcW w:w="2835" w:type="dxa"/>
            <w:vAlign w:val="center"/>
          </w:tcPr>
          <w:p w:rsidR="00DD15AC" w:rsidRPr="00DD15AC" w:rsidRDefault="00DD15AC" w:rsidP="002668BA">
            <w:pPr>
              <w:pStyle w:val="BodyText"/>
              <w:keepNext/>
              <w:spacing w:before="120" w:after="120"/>
              <w:jc w:val="left"/>
              <w:rPr>
                <w:rFonts w:cs="Arial"/>
                <w:b/>
                <w:bCs/>
              </w:rPr>
            </w:pPr>
          </w:p>
        </w:tc>
        <w:tc>
          <w:tcPr>
            <w:tcW w:w="5907" w:type="dxa"/>
            <w:gridSpan w:val="5"/>
            <w:vAlign w:val="center"/>
          </w:tcPr>
          <w:p w:rsidR="00DD15AC" w:rsidRPr="00DD15AC" w:rsidRDefault="00DD15AC" w:rsidP="002668BA">
            <w:pPr>
              <w:pStyle w:val="BodyText"/>
              <w:keepNext/>
              <w:spacing w:before="120" w:after="120"/>
              <w:jc w:val="center"/>
              <w:rPr>
                <w:rFonts w:cs="Arial"/>
                <w:b/>
                <w:bCs/>
              </w:rPr>
            </w:pPr>
            <w:r w:rsidRPr="00DD15AC">
              <w:rPr>
                <w:rFonts w:cs="Arial"/>
                <w:b/>
                <w:bCs/>
              </w:rPr>
              <w:t>Regulatory Year</w:t>
            </w:r>
          </w:p>
        </w:tc>
      </w:tr>
      <w:tr w:rsidR="00DD15AC" w:rsidTr="00DD15AC">
        <w:tc>
          <w:tcPr>
            <w:tcW w:w="2835" w:type="dxa"/>
            <w:vAlign w:val="center"/>
          </w:tcPr>
          <w:p w:rsidR="00DD15AC" w:rsidRPr="00DD15AC" w:rsidRDefault="00DD15AC" w:rsidP="00DD15AC">
            <w:pPr>
              <w:pStyle w:val="BodyText"/>
              <w:spacing w:before="120" w:after="120"/>
              <w:jc w:val="left"/>
              <w:rPr>
                <w:rFonts w:cs="Arial"/>
                <w:b/>
                <w:bCs/>
              </w:rPr>
            </w:pPr>
          </w:p>
        </w:tc>
        <w:tc>
          <w:tcPr>
            <w:tcW w:w="1276" w:type="dxa"/>
            <w:vAlign w:val="center"/>
          </w:tcPr>
          <w:p w:rsidR="00DD15AC" w:rsidRPr="00DD15AC" w:rsidRDefault="00DD15AC" w:rsidP="00DD15AC">
            <w:pPr>
              <w:pStyle w:val="BodyText"/>
              <w:spacing w:before="120" w:after="120"/>
              <w:jc w:val="center"/>
              <w:rPr>
                <w:rFonts w:cs="Arial"/>
                <w:b/>
                <w:bCs/>
              </w:rPr>
            </w:pPr>
            <w:r w:rsidRPr="00DD15AC">
              <w:rPr>
                <w:rFonts w:cs="Arial"/>
                <w:b/>
                <w:bCs/>
              </w:rPr>
              <w:t>1</w:t>
            </w:r>
          </w:p>
        </w:tc>
        <w:tc>
          <w:tcPr>
            <w:tcW w:w="1275" w:type="dxa"/>
            <w:vAlign w:val="center"/>
          </w:tcPr>
          <w:p w:rsidR="00DD15AC" w:rsidRPr="00DD15AC" w:rsidRDefault="00DD15AC" w:rsidP="00DD15AC">
            <w:pPr>
              <w:pStyle w:val="BodyText"/>
              <w:spacing w:before="120" w:after="120"/>
              <w:jc w:val="center"/>
              <w:rPr>
                <w:rFonts w:cs="Arial"/>
                <w:b/>
                <w:bCs/>
              </w:rPr>
            </w:pPr>
            <w:r w:rsidRPr="00DD15AC">
              <w:rPr>
                <w:rFonts w:cs="Arial"/>
                <w:b/>
                <w:bCs/>
              </w:rPr>
              <w:t>2</w:t>
            </w:r>
          </w:p>
        </w:tc>
        <w:tc>
          <w:tcPr>
            <w:tcW w:w="1134" w:type="dxa"/>
            <w:vAlign w:val="center"/>
          </w:tcPr>
          <w:p w:rsidR="00DD15AC" w:rsidRPr="00DD15AC" w:rsidRDefault="00DD15AC" w:rsidP="00DD15AC">
            <w:pPr>
              <w:pStyle w:val="BodyText"/>
              <w:spacing w:before="120" w:after="120"/>
              <w:jc w:val="center"/>
              <w:rPr>
                <w:rFonts w:cs="Arial"/>
                <w:b/>
                <w:bCs/>
              </w:rPr>
            </w:pPr>
            <w:r w:rsidRPr="00DD15AC">
              <w:rPr>
                <w:rFonts w:cs="Arial"/>
                <w:b/>
                <w:bCs/>
              </w:rPr>
              <w:t>3</w:t>
            </w:r>
          </w:p>
        </w:tc>
        <w:tc>
          <w:tcPr>
            <w:tcW w:w="1134" w:type="dxa"/>
            <w:vAlign w:val="center"/>
          </w:tcPr>
          <w:p w:rsidR="00DD15AC" w:rsidRPr="00DD15AC" w:rsidRDefault="00DD15AC" w:rsidP="00DD15AC">
            <w:pPr>
              <w:pStyle w:val="BodyText"/>
              <w:spacing w:before="120" w:after="120"/>
              <w:jc w:val="center"/>
              <w:rPr>
                <w:rFonts w:cs="Arial"/>
                <w:b/>
                <w:bCs/>
              </w:rPr>
            </w:pPr>
            <w:r w:rsidRPr="00DD15AC">
              <w:rPr>
                <w:rFonts w:cs="Arial"/>
                <w:b/>
                <w:bCs/>
              </w:rPr>
              <w:t>4</w:t>
            </w:r>
          </w:p>
        </w:tc>
        <w:tc>
          <w:tcPr>
            <w:tcW w:w="1105" w:type="dxa"/>
            <w:gridSpan w:val="2"/>
            <w:vAlign w:val="center"/>
          </w:tcPr>
          <w:p w:rsidR="00DD15AC" w:rsidRPr="00DD15AC" w:rsidRDefault="00DD15AC" w:rsidP="00DD15AC">
            <w:pPr>
              <w:pStyle w:val="BodyText"/>
              <w:spacing w:before="120" w:after="120"/>
              <w:jc w:val="center"/>
              <w:rPr>
                <w:rFonts w:cs="Arial"/>
                <w:b/>
                <w:bCs/>
              </w:rPr>
            </w:pPr>
            <w:r w:rsidRPr="00DD15AC">
              <w:rPr>
                <w:rFonts w:cs="Arial"/>
                <w:b/>
                <w:bCs/>
              </w:rPr>
              <w:t>5</w:t>
            </w:r>
          </w:p>
        </w:tc>
      </w:tr>
      <w:tr w:rsidR="00DD15AC" w:rsidTr="00DD15AC">
        <w:tc>
          <w:tcPr>
            <w:tcW w:w="2835" w:type="dxa"/>
            <w:vAlign w:val="center"/>
          </w:tcPr>
          <w:p w:rsidR="00DD15AC" w:rsidRDefault="00DD15AC" w:rsidP="00DD15AC">
            <w:pPr>
              <w:pStyle w:val="BodyText"/>
              <w:spacing w:before="120" w:after="120"/>
              <w:jc w:val="left"/>
              <w:rPr>
                <w:rFonts w:cs="Arial"/>
                <w:bCs/>
              </w:rPr>
            </w:pPr>
            <w:r>
              <w:rPr>
                <w:rFonts w:cs="Arial"/>
                <w:bCs/>
              </w:rPr>
              <w:t>Supplementary capacity</w:t>
            </w:r>
          </w:p>
        </w:tc>
        <w:tc>
          <w:tcPr>
            <w:tcW w:w="1276" w:type="dxa"/>
            <w:vAlign w:val="center"/>
          </w:tcPr>
          <w:p w:rsidR="00DD15AC" w:rsidRDefault="00DD15AC" w:rsidP="00DD15AC">
            <w:pPr>
              <w:pStyle w:val="BodyText"/>
              <w:spacing w:before="120" w:after="120"/>
              <w:jc w:val="center"/>
              <w:rPr>
                <w:rFonts w:cs="Arial"/>
                <w:bCs/>
              </w:rPr>
            </w:pPr>
            <w:r>
              <w:rPr>
                <w:rFonts w:cs="Arial"/>
                <w:bCs/>
              </w:rPr>
              <w:t>20</w:t>
            </w:r>
          </w:p>
        </w:tc>
        <w:tc>
          <w:tcPr>
            <w:tcW w:w="1275" w:type="dxa"/>
            <w:vAlign w:val="center"/>
          </w:tcPr>
          <w:p w:rsidR="00DD15AC" w:rsidRDefault="00DD15AC" w:rsidP="00DD15AC">
            <w:pPr>
              <w:pStyle w:val="BodyText"/>
              <w:spacing w:before="120" w:after="120"/>
              <w:jc w:val="center"/>
              <w:rPr>
                <w:rFonts w:cs="Arial"/>
                <w:bCs/>
              </w:rPr>
            </w:pPr>
            <w:r>
              <w:rPr>
                <w:rFonts w:cs="Arial"/>
                <w:bCs/>
              </w:rPr>
              <w:t>20</w:t>
            </w:r>
          </w:p>
        </w:tc>
        <w:tc>
          <w:tcPr>
            <w:tcW w:w="1134" w:type="dxa"/>
            <w:vAlign w:val="center"/>
          </w:tcPr>
          <w:p w:rsidR="00DD15AC" w:rsidRDefault="00DD15AC" w:rsidP="00DD15AC">
            <w:pPr>
              <w:pStyle w:val="BodyText"/>
              <w:spacing w:before="120" w:after="120"/>
              <w:jc w:val="center"/>
              <w:rPr>
                <w:rFonts w:cs="Arial"/>
                <w:bCs/>
              </w:rPr>
            </w:pPr>
            <w:r>
              <w:rPr>
                <w:rFonts w:cs="Arial"/>
                <w:bCs/>
              </w:rPr>
              <w:t>20</w:t>
            </w:r>
          </w:p>
        </w:tc>
        <w:tc>
          <w:tcPr>
            <w:tcW w:w="1134" w:type="dxa"/>
            <w:vAlign w:val="center"/>
          </w:tcPr>
          <w:p w:rsidR="00DD15AC" w:rsidRDefault="00DD15AC" w:rsidP="00DD15AC">
            <w:pPr>
              <w:pStyle w:val="BodyText"/>
              <w:spacing w:before="120" w:after="120"/>
              <w:jc w:val="center"/>
              <w:rPr>
                <w:rFonts w:cs="Arial"/>
                <w:bCs/>
              </w:rPr>
            </w:pPr>
            <w:r>
              <w:rPr>
                <w:rFonts w:cs="Arial"/>
                <w:bCs/>
              </w:rPr>
              <w:t>20</w:t>
            </w:r>
          </w:p>
        </w:tc>
        <w:tc>
          <w:tcPr>
            <w:tcW w:w="1105" w:type="dxa"/>
            <w:gridSpan w:val="2"/>
            <w:vAlign w:val="center"/>
          </w:tcPr>
          <w:p w:rsidR="00DD15AC" w:rsidRDefault="00DD15AC" w:rsidP="00DD15AC">
            <w:pPr>
              <w:pStyle w:val="BodyText"/>
              <w:spacing w:before="120" w:after="120"/>
              <w:jc w:val="center"/>
              <w:rPr>
                <w:rFonts w:cs="Arial"/>
                <w:bCs/>
              </w:rPr>
            </w:pPr>
            <w:r>
              <w:rPr>
                <w:rFonts w:cs="Arial"/>
                <w:bCs/>
              </w:rPr>
              <w:t>20</w:t>
            </w:r>
          </w:p>
        </w:tc>
      </w:tr>
      <w:tr w:rsidR="00DD15AC" w:rsidTr="00DD15AC">
        <w:tc>
          <w:tcPr>
            <w:tcW w:w="2835" w:type="dxa"/>
            <w:vAlign w:val="center"/>
          </w:tcPr>
          <w:p w:rsidR="00DD15AC" w:rsidRDefault="00DD15AC" w:rsidP="00DD15AC">
            <w:pPr>
              <w:pStyle w:val="BodyText"/>
              <w:spacing w:before="120" w:after="120"/>
              <w:jc w:val="left"/>
              <w:rPr>
                <w:rFonts w:cs="Arial"/>
                <w:bCs/>
              </w:rPr>
            </w:pPr>
            <w:r>
              <w:rPr>
                <w:rFonts w:cs="Arial"/>
                <w:bCs/>
              </w:rPr>
              <w:t xml:space="preserve">Standard </w:t>
            </w:r>
            <w:r w:rsidR="00F01531">
              <w:rPr>
                <w:rFonts w:cs="Arial"/>
                <w:bCs/>
              </w:rPr>
              <w:t>transmission capacity (DNC</w:t>
            </w:r>
            <w:r>
              <w:rPr>
                <w:rFonts w:cs="Arial"/>
                <w:bCs/>
              </w:rPr>
              <w:t>)</w:t>
            </w:r>
          </w:p>
        </w:tc>
        <w:tc>
          <w:tcPr>
            <w:tcW w:w="1276" w:type="dxa"/>
            <w:vAlign w:val="center"/>
          </w:tcPr>
          <w:p w:rsidR="00DD15AC" w:rsidRDefault="00DD15AC" w:rsidP="00DD15AC">
            <w:pPr>
              <w:pStyle w:val="BodyText"/>
              <w:spacing w:before="120" w:after="120"/>
              <w:jc w:val="center"/>
              <w:rPr>
                <w:rFonts w:cs="Arial"/>
                <w:bCs/>
              </w:rPr>
            </w:pPr>
            <w:r>
              <w:rPr>
                <w:rFonts w:cs="Arial"/>
                <w:bCs/>
              </w:rPr>
              <w:t>90</w:t>
            </w:r>
          </w:p>
        </w:tc>
        <w:tc>
          <w:tcPr>
            <w:tcW w:w="1275" w:type="dxa"/>
            <w:vAlign w:val="center"/>
          </w:tcPr>
          <w:p w:rsidR="00DD15AC" w:rsidRDefault="00DD15AC" w:rsidP="00DD15AC">
            <w:pPr>
              <w:pStyle w:val="BodyText"/>
              <w:spacing w:before="120" w:after="120"/>
              <w:jc w:val="center"/>
              <w:rPr>
                <w:rFonts w:cs="Arial"/>
                <w:bCs/>
              </w:rPr>
            </w:pPr>
            <w:r>
              <w:rPr>
                <w:rFonts w:cs="Arial"/>
                <w:bCs/>
              </w:rPr>
              <w:t>90</w:t>
            </w:r>
          </w:p>
        </w:tc>
        <w:tc>
          <w:tcPr>
            <w:tcW w:w="1134" w:type="dxa"/>
            <w:vAlign w:val="center"/>
          </w:tcPr>
          <w:p w:rsidR="00DD15AC" w:rsidRPr="00AA2F5F" w:rsidRDefault="00DD15AC" w:rsidP="00DD15AC">
            <w:pPr>
              <w:pStyle w:val="BodyText"/>
              <w:spacing w:before="120" w:after="120"/>
              <w:jc w:val="center"/>
              <w:rPr>
                <w:rFonts w:cs="Arial"/>
                <w:bCs/>
                <w:strike/>
              </w:rPr>
            </w:pPr>
            <w:r w:rsidRPr="00AA2F5F">
              <w:rPr>
                <w:rFonts w:cs="Arial"/>
                <w:bCs/>
                <w:strike/>
              </w:rPr>
              <w:t>90</w:t>
            </w:r>
            <w:r w:rsidR="00AA2F5F">
              <w:rPr>
                <w:rFonts w:cs="Arial"/>
                <w:bCs/>
                <w:strike/>
              </w:rPr>
              <w:br/>
            </w:r>
            <w:r w:rsidR="00AA2F5F" w:rsidRPr="00AA2F5F">
              <w:rPr>
                <w:rFonts w:cs="Arial"/>
                <w:bCs/>
                <w:color w:val="FF0000"/>
              </w:rPr>
              <w:t>85</w:t>
            </w:r>
          </w:p>
        </w:tc>
        <w:tc>
          <w:tcPr>
            <w:tcW w:w="1134" w:type="dxa"/>
            <w:vAlign w:val="center"/>
          </w:tcPr>
          <w:p w:rsidR="00DD15AC" w:rsidRDefault="00DD15AC" w:rsidP="00DD15AC">
            <w:pPr>
              <w:pStyle w:val="BodyText"/>
              <w:spacing w:before="120" w:after="120"/>
              <w:jc w:val="center"/>
              <w:rPr>
                <w:rFonts w:cs="Arial"/>
                <w:bCs/>
              </w:rPr>
            </w:pPr>
            <w:r>
              <w:rPr>
                <w:rFonts w:cs="Arial"/>
                <w:bCs/>
              </w:rPr>
              <w:t>90</w:t>
            </w:r>
          </w:p>
        </w:tc>
        <w:tc>
          <w:tcPr>
            <w:tcW w:w="1105" w:type="dxa"/>
            <w:gridSpan w:val="2"/>
            <w:vAlign w:val="center"/>
          </w:tcPr>
          <w:p w:rsidR="00DD15AC" w:rsidRDefault="00DD15AC" w:rsidP="00DD15AC">
            <w:pPr>
              <w:pStyle w:val="BodyText"/>
              <w:spacing w:before="120" w:after="120"/>
              <w:jc w:val="center"/>
              <w:rPr>
                <w:rFonts w:cs="Arial"/>
                <w:bCs/>
              </w:rPr>
            </w:pPr>
            <w:r>
              <w:rPr>
                <w:rFonts w:cs="Arial"/>
                <w:bCs/>
              </w:rPr>
              <w:t>90</w:t>
            </w:r>
          </w:p>
        </w:tc>
      </w:tr>
      <w:tr w:rsidR="00DD15AC" w:rsidTr="00DD15AC">
        <w:tc>
          <w:tcPr>
            <w:tcW w:w="2835" w:type="dxa"/>
            <w:vAlign w:val="center"/>
          </w:tcPr>
          <w:p w:rsidR="00DD15AC" w:rsidRDefault="00DD15AC" w:rsidP="00DD15AC">
            <w:pPr>
              <w:pStyle w:val="BodyText"/>
              <w:spacing w:before="120" w:after="120"/>
              <w:jc w:val="left"/>
              <w:rPr>
                <w:rFonts w:cs="Arial"/>
                <w:bCs/>
              </w:rPr>
            </w:pPr>
            <w:r>
              <w:rPr>
                <w:rFonts w:cs="Arial"/>
                <w:bCs/>
              </w:rPr>
              <w:t xml:space="preserve">Transmission incentive </w:t>
            </w:r>
            <w:r w:rsidR="00891529">
              <w:rPr>
                <w:rFonts w:cs="Arial"/>
                <w:bCs/>
              </w:rPr>
              <w:t>charges</w:t>
            </w:r>
          </w:p>
        </w:tc>
        <w:tc>
          <w:tcPr>
            <w:tcW w:w="1276" w:type="dxa"/>
            <w:vAlign w:val="center"/>
          </w:tcPr>
          <w:p w:rsidR="00DD15AC" w:rsidRPr="00AA2F5F" w:rsidRDefault="00DD15AC" w:rsidP="00DD15AC">
            <w:pPr>
              <w:pStyle w:val="BodyText"/>
              <w:spacing w:before="120" w:after="120"/>
              <w:jc w:val="center"/>
              <w:rPr>
                <w:rFonts w:cs="Arial"/>
                <w:bCs/>
                <w:strike/>
                <w:color w:val="FF0000"/>
              </w:rPr>
            </w:pPr>
            <w:r w:rsidRPr="00AA2F5F">
              <w:rPr>
                <w:rFonts w:cs="Arial"/>
                <w:bCs/>
                <w:strike/>
              </w:rPr>
              <w:t>10</w:t>
            </w:r>
            <w:r w:rsidR="00AA2F5F">
              <w:rPr>
                <w:rFonts w:cs="Arial"/>
                <w:bCs/>
                <w:strike/>
              </w:rPr>
              <w:br/>
            </w:r>
            <w:r w:rsidR="00AA2F5F" w:rsidRPr="00AA2F5F">
              <w:rPr>
                <w:rFonts w:cs="Arial"/>
                <w:bCs/>
                <w:color w:val="FF0000"/>
              </w:rPr>
              <w:t>15</w:t>
            </w:r>
          </w:p>
        </w:tc>
        <w:tc>
          <w:tcPr>
            <w:tcW w:w="1275" w:type="dxa"/>
            <w:vAlign w:val="center"/>
          </w:tcPr>
          <w:p w:rsidR="00DD15AC" w:rsidRDefault="00DD15AC" w:rsidP="00DD15AC">
            <w:pPr>
              <w:pStyle w:val="BodyText"/>
              <w:spacing w:before="120" w:after="120"/>
              <w:jc w:val="center"/>
              <w:rPr>
                <w:rFonts w:cs="Arial"/>
                <w:bCs/>
              </w:rPr>
            </w:pPr>
            <w:r>
              <w:rPr>
                <w:rFonts w:cs="Arial"/>
                <w:bCs/>
              </w:rPr>
              <w:t>10</w:t>
            </w:r>
          </w:p>
        </w:tc>
        <w:tc>
          <w:tcPr>
            <w:tcW w:w="1134" w:type="dxa"/>
            <w:vAlign w:val="center"/>
          </w:tcPr>
          <w:p w:rsidR="00DD15AC" w:rsidRDefault="00DD15AC" w:rsidP="00DD15AC">
            <w:pPr>
              <w:pStyle w:val="BodyText"/>
              <w:spacing w:before="120" w:after="120"/>
              <w:jc w:val="center"/>
              <w:rPr>
                <w:rFonts w:cs="Arial"/>
                <w:bCs/>
              </w:rPr>
            </w:pPr>
            <w:r>
              <w:rPr>
                <w:rFonts w:cs="Arial"/>
                <w:bCs/>
              </w:rPr>
              <w:t>10</w:t>
            </w:r>
          </w:p>
        </w:tc>
        <w:tc>
          <w:tcPr>
            <w:tcW w:w="1134" w:type="dxa"/>
            <w:vAlign w:val="center"/>
          </w:tcPr>
          <w:p w:rsidR="00DD15AC" w:rsidRDefault="00DD15AC" w:rsidP="00DD15AC">
            <w:pPr>
              <w:pStyle w:val="BodyText"/>
              <w:spacing w:before="120" w:after="120"/>
              <w:jc w:val="center"/>
              <w:rPr>
                <w:rFonts w:cs="Arial"/>
                <w:bCs/>
              </w:rPr>
            </w:pPr>
            <w:r>
              <w:rPr>
                <w:rFonts w:cs="Arial"/>
                <w:bCs/>
              </w:rPr>
              <w:t>10</w:t>
            </w:r>
          </w:p>
        </w:tc>
        <w:tc>
          <w:tcPr>
            <w:tcW w:w="1105" w:type="dxa"/>
            <w:gridSpan w:val="2"/>
            <w:vAlign w:val="center"/>
          </w:tcPr>
          <w:p w:rsidR="00DD15AC" w:rsidRDefault="00DD15AC" w:rsidP="00DD15AC">
            <w:pPr>
              <w:pStyle w:val="BodyText"/>
              <w:spacing w:before="120" w:after="120"/>
              <w:jc w:val="center"/>
              <w:rPr>
                <w:rFonts w:cs="Arial"/>
                <w:bCs/>
              </w:rPr>
            </w:pPr>
            <w:r>
              <w:rPr>
                <w:rFonts w:cs="Arial"/>
                <w:bCs/>
              </w:rPr>
              <w:t>10</w:t>
            </w:r>
          </w:p>
        </w:tc>
      </w:tr>
      <w:tr w:rsidR="00DD15AC" w:rsidTr="00DD15AC">
        <w:tc>
          <w:tcPr>
            <w:tcW w:w="2835" w:type="dxa"/>
            <w:vAlign w:val="center"/>
          </w:tcPr>
          <w:p w:rsidR="00DD15AC" w:rsidRPr="00AA2F5F" w:rsidRDefault="00DD15AC" w:rsidP="00DD15AC">
            <w:pPr>
              <w:pStyle w:val="BodyText"/>
              <w:spacing w:before="120" w:after="120"/>
              <w:jc w:val="left"/>
              <w:rPr>
                <w:rFonts w:cs="Arial"/>
                <w:b/>
                <w:bCs/>
              </w:rPr>
            </w:pPr>
            <w:r w:rsidRPr="00AA2F5F">
              <w:rPr>
                <w:rFonts w:cs="Arial"/>
                <w:b/>
                <w:bCs/>
              </w:rPr>
              <w:t>Total revenue</w:t>
            </w:r>
          </w:p>
        </w:tc>
        <w:tc>
          <w:tcPr>
            <w:tcW w:w="1276" w:type="dxa"/>
            <w:vAlign w:val="center"/>
          </w:tcPr>
          <w:p w:rsidR="00AA2F5F" w:rsidRPr="00AA2F5F" w:rsidRDefault="00DD15AC" w:rsidP="00AA2F5F">
            <w:pPr>
              <w:pStyle w:val="BodyText"/>
              <w:spacing w:before="120" w:after="120"/>
              <w:jc w:val="center"/>
              <w:rPr>
                <w:rFonts w:cs="Arial"/>
                <w:b/>
                <w:bCs/>
                <w:strike/>
              </w:rPr>
            </w:pPr>
            <w:r w:rsidRPr="00AA2F5F">
              <w:rPr>
                <w:rFonts w:cs="Arial"/>
                <w:b/>
                <w:bCs/>
                <w:strike/>
              </w:rPr>
              <w:t>120</w:t>
            </w:r>
            <w:r w:rsidR="00AA2F5F">
              <w:rPr>
                <w:rFonts w:cs="Arial"/>
                <w:b/>
                <w:bCs/>
                <w:strike/>
              </w:rPr>
              <w:br/>
            </w:r>
            <w:r w:rsidR="00AA2F5F" w:rsidRPr="00AA2F5F">
              <w:rPr>
                <w:rFonts w:cs="Arial"/>
                <w:b/>
                <w:bCs/>
                <w:color w:val="FF0000"/>
              </w:rPr>
              <w:t>125</w:t>
            </w:r>
          </w:p>
        </w:tc>
        <w:tc>
          <w:tcPr>
            <w:tcW w:w="1275" w:type="dxa"/>
            <w:vAlign w:val="center"/>
          </w:tcPr>
          <w:p w:rsidR="00DD15AC" w:rsidRPr="00AA2F5F" w:rsidRDefault="00DD15AC" w:rsidP="00DD15AC">
            <w:pPr>
              <w:pStyle w:val="BodyText"/>
              <w:spacing w:before="120" w:after="120"/>
              <w:jc w:val="center"/>
              <w:rPr>
                <w:rFonts w:cs="Arial"/>
                <w:b/>
                <w:bCs/>
              </w:rPr>
            </w:pPr>
            <w:r w:rsidRPr="00AA2F5F">
              <w:rPr>
                <w:rFonts w:cs="Arial"/>
                <w:b/>
                <w:bCs/>
              </w:rPr>
              <w:t>120</w:t>
            </w:r>
          </w:p>
        </w:tc>
        <w:tc>
          <w:tcPr>
            <w:tcW w:w="1134" w:type="dxa"/>
            <w:vAlign w:val="center"/>
          </w:tcPr>
          <w:p w:rsidR="00DD15AC" w:rsidRPr="00AA2F5F" w:rsidRDefault="00DD15AC" w:rsidP="00DD15AC">
            <w:pPr>
              <w:pStyle w:val="BodyText"/>
              <w:spacing w:before="120" w:after="120"/>
              <w:jc w:val="center"/>
              <w:rPr>
                <w:rFonts w:cs="Arial"/>
                <w:b/>
                <w:bCs/>
                <w:strike/>
              </w:rPr>
            </w:pPr>
            <w:r w:rsidRPr="00AA2F5F">
              <w:rPr>
                <w:rFonts w:cs="Arial"/>
                <w:b/>
                <w:bCs/>
                <w:strike/>
              </w:rPr>
              <w:t>120</w:t>
            </w:r>
            <w:r w:rsidR="00AA2F5F">
              <w:rPr>
                <w:rFonts w:cs="Arial"/>
                <w:b/>
                <w:bCs/>
                <w:strike/>
              </w:rPr>
              <w:br/>
            </w:r>
            <w:r w:rsidR="00AA2F5F" w:rsidRPr="00AA2F5F">
              <w:rPr>
                <w:rFonts w:cs="Arial"/>
                <w:b/>
                <w:bCs/>
                <w:color w:val="FF0000"/>
              </w:rPr>
              <w:t>115</w:t>
            </w:r>
          </w:p>
        </w:tc>
        <w:tc>
          <w:tcPr>
            <w:tcW w:w="1134" w:type="dxa"/>
            <w:vAlign w:val="center"/>
          </w:tcPr>
          <w:p w:rsidR="00DD15AC" w:rsidRPr="00AA2F5F" w:rsidRDefault="00DD15AC" w:rsidP="00DD15AC">
            <w:pPr>
              <w:pStyle w:val="BodyText"/>
              <w:spacing w:before="120" w:after="120"/>
              <w:jc w:val="center"/>
              <w:rPr>
                <w:rFonts w:cs="Arial"/>
                <w:b/>
                <w:bCs/>
              </w:rPr>
            </w:pPr>
            <w:r w:rsidRPr="00AA2F5F">
              <w:rPr>
                <w:rFonts w:cs="Arial"/>
                <w:b/>
                <w:bCs/>
              </w:rPr>
              <w:t>120</w:t>
            </w:r>
          </w:p>
        </w:tc>
        <w:tc>
          <w:tcPr>
            <w:tcW w:w="1105" w:type="dxa"/>
            <w:gridSpan w:val="2"/>
            <w:vAlign w:val="center"/>
          </w:tcPr>
          <w:p w:rsidR="00DD15AC" w:rsidRPr="00AA2F5F" w:rsidRDefault="00DD15AC" w:rsidP="00DD15AC">
            <w:pPr>
              <w:pStyle w:val="BodyText"/>
              <w:spacing w:before="120" w:after="120"/>
              <w:jc w:val="center"/>
              <w:rPr>
                <w:rFonts w:cs="Arial"/>
                <w:b/>
                <w:bCs/>
              </w:rPr>
            </w:pPr>
            <w:r w:rsidRPr="00AA2F5F">
              <w:rPr>
                <w:rFonts w:cs="Arial"/>
                <w:b/>
                <w:bCs/>
              </w:rPr>
              <w:t>120</w:t>
            </w:r>
          </w:p>
        </w:tc>
      </w:tr>
    </w:tbl>
    <w:p w:rsidR="00DD15AC" w:rsidRDefault="00DD15AC" w:rsidP="00E15E8A">
      <w:pPr>
        <w:pStyle w:val="BodyText"/>
        <w:spacing w:after="120"/>
        <w:rPr>
          <w:rFonts w:cs="Arial"/>
          <w:bCs/>
        </w:rPr>
      </w:pPr>
    </w:p>
    <w:p w:rsidR="00922379" w:rsidRDefault="002668BA" w:rsidP="00E15E8A">
      <w:pPr>
        <w:pStyle w:val="BodyText"/>
        <w:spacing w:after="120"/>
        <w:rPr>
          <w:rFonts w:cs="Arial"/>
          <w:bCs/>
        </w:rPr>
      </w:pPr>
      <w:r>
        <w:rPr>
          <w:rFonts w:cs="Arial"/>
          <w:bCs/>
        </w:rPr>
        <w:t>T</w:t>
      </w:r>
      <w:r w:rsidR="00922379">
        <w:rPr>
          <w:rFonts w:cs="Arial"/>
          <w:bCs/>
        </w:rPr>
        <w:t xml:space="preserve">he </w:t>
      </w:r>
      <w:r>
        <w:rPr>
          <w:rFonts w:cs="Arial"/>
          <w:bCs/>
        </w:rPr>
        <w:t xml:space="preserve">proposed approach under the </w:t>
      </w:r>
      <w:r w:rsidR="00922379">
        <w:rPr>
          <w:rFonts w:cs="Arial"/>
          <w:bCs/>
        </w:rPr>
        <w:t>GTAC</w:t>
      </w:r>
      <w:r w:rsidR="004F2D91">
        <w:rPr>
          <w:rFonts w:cs="Arial"/>
          <w:bCs/>
        </w:rPr>
        <w:t xml:space="preserve"> </w:t>
      </w:r>
      <w:r>
        <w:rPr>
          <w:rFonts w:cs="Arial"/>
          <w:bCs/>
        </w:rPr>
        <w:t xml:space="preserve">would see First Gas’ allowable </w:t>
      </w:r>
      <w:r w:rsidR="004F2D91">
        <w:rPr>
          <w:rFonts w:cs="Arial"/>
          <w:bCs/>
        </w:rPr>
        <w:t>revenue</w:t>
      </w:r>
      <w:r>
        <w:rPr>
          <w:rFonts w:cs="Arial"/>
          <w:bCs/>
        </w:rPr>
        <w:t xml:space="preserve"> </w:t>
      </w:r>
      <w:r w:rsidR="004F2D91">
        <w:rPr>
          <w:rFonts w:cs="Arial"/>
          <w:bCs/>
        </w:rPr>
        <w:t>recovered from supplementary and standard transmission capacity</w:t>
      </w:r>
      <w:r>
        <w:rPr>
          <w:rFonts w:cs="Arial"/>
          <w:bCs/>
        </w:rPr>
        <w:t xml:space="preserve"> charges</w:t>
      </w:r>
      <w:r w:rsidR="004F2D91">
        <w:rPr>
          <w:rFonts w:cs="Arial"/>
          <w:bCs/>
        </w:rPr>
        <w:t>, with transmission incentive fees rebated throughout the yea</w:t>
      </w:r>
      <w:r>
        <w:rPr>
          <w:rFonts w:cs="Arial"/>
          <w:bCs/>
        </w:rPr>
        <w:t xml:space="preserve">r. </w:t>
      </w:r>
      <w:r w:rsidR="00891529">
        <w:rPr>
          <w:rFonts w:cs="Arial"/>
          <w:bCs/>
        </w:rPr>
        <w:t>This is shown in the two tables below. First Gas would forecast no revenue from transmission incentive charges, since any revenue earned from these charges will be credited back to shippers. The $15m of incentive charges that would have been charged in year 1 of the regulat</w:t>
      </w:r>
      <w:r w:rsidR="00F01531">
        <w:rPr>
          <w:rFonts w:cs="Arial"/>
          <w:bCs/>
        </w:rPr>
        <w:t>ory period (circled in red) has</w:t>
      </w:r>
      <w:r w:rsidR="00891529">
        <w:rPr>
          <w:rFonts w:cs="Arial"/>
          <w:bCs/>
        </w:rPr>
        <w:t xml:space="preserve"> been credited throughout the year (</w:t>
      </w:r>
      <w:r w:rsidR="00F01531">
        <w:rPr>
          <w:rFonts w:cs="Arial"/>
          <w:bCs/>
        </w:rPr>
        <w:t>shown in the second table below). S</w:t>
      </w:r>
      <w:r w:rsidR="00891529">
        <w:rPr>
          <w:rFonts w:cs="Arial"/>
          <w:bCs/>
        </w:rPr>
        <w:t xml:space="preserve">o rather than the high incentive charges in August of that year </w:t>
      </w:r>
      <w:r w:rsidR="00F01531">
        <w:rPr>
          <w:rFonts w:cs="Arial"/>
          <w:bCs/>
        </w:rPr>
        <w:t xml:space="preserve">being treated as revenue by </w:t>
      </w:r>
      <w:r w:rsidR="00891529">
        <w:rPr>
          <w:rFonts w:cs="Arial"/>
          <w:bCs/>
        </w:rPr>
        <w:t>First Gas, the funds are rebated to all shippers pro-rata on DNC charges).</w:t>
      </w:r>
    </w:p>
    <w:tbl>
      <w:tblPr>
        <w:tblStyle w:val="TableGrid"/>
        <w:tblW w:w="8759" w:type="dxa"/>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1276"/>
        <w:gridCol w:w="1275"/>
        <w:gridCol w:w="1134"/>
        <w:gridCol w:w="1134"/>
        <w:gridCol w:w="1088"/>
        <w:gridCol w:w="17"/>
      </w:tblGrid>
      <w:tr w:rsidR="004F2D91" w:rsidTr="002668BA">
        <w:trPr>
          <w:gridAfter w:val="1"/>
          <w:wAfter w:w="17" w:type="dxa"/>
        </w:trPr>
        <w:tc>
          <w:tcPr>
            <w:tcW w:w="2835" w:type="dxa"/>
            <w:vAlign w:val="center"/>
          </w:tcPr>
          <w:p w:rsidR="004F2D91" w:rsidRPr="00DD15AC" w:rsidRDefault="004F2D91" w:rsidP="002668BA">
            <w:pPr>
              <w:pStyle w:val="BodyText"/>
              <w:spacing w:before="120" w:after="120"/>
              <w:jc w:val="left"/>
              <w:rPr>
                <w:rFonts w:cs="Arial"/>
                <w:b/>
                <w:bCs/>
              </w:rPr>
            </w:pPr>
          </w:p>
        </w:tc>
        <w:tc>
          <w:tcPr>
            <w:tcW w:w="5907" w:type="dxa"/>
            <w:gridSpan w:val="5"/>
            <w:vAlign w:val="center"/>
          </w:tcPr>
          <w:p w:rsidR="004F2D91" w:rsidRPr="00DD15AC" w:rsidRDefault="004F2D91" w:rsidP="002668BA">
            <w:pPr>
              <w:pStyle w:val="BodyText"/>
              <w:spacing w:before="120" w:after="120"/>
              <w:jc w:val="center"/>
              <w:rPr>
                <w:rFonts w:cs="Arial"/>
                <w:b/>
                <w:bCs/>
              </w:rPr>
            </w:pPr>
            <w:r w:rsidRPr="00DD15AC">
              <w:rPr>
                <w:rFonts w:cs="Arial"/>
                <w:b/>
                <w:bCs/>
              </w:rPr>
              <w:t>Regulatory Year</w:t>
            </w:r>
          </w:p>
        </w:tc>
      </w:tr>
      <w:tr w:rsidR="004F2D91" w:rsidTr="002668BA">
        <w:tc>
          <w:tcPr>
            <w:tcW w:w="2835" w:type="dxa"/>
            <w:vAlign w:val="center"/>
          </w:tcPr>
          <w:p w:rsidR="004F2D91" w:rsidRPr="00DD15AC" w:rsidRDefault="004F2D91" w:rsidP="002668BA">
            <w:pPr>
              <w:pStyle w:val="BodyText"/>
              <w:spacing w:before="120" w:after="120"/>
              <w:jc w:val="left"/>
              <w:rPr>
                <w:rFonts w:cs="Arial"/>
                <w:b/>
                <w:bCs/>
              </w:rPr>
            </w:pPr>
          </w:p>
        </w:tc>
        <w:tc>
          <w:tcPr>
            <w:tcW w:w="1276" w:type="dxa"/>
            <w:vAlign w:val="center"/>
          </w:tcPr>
          <w:p w:rsidR="004F2D91" w:rsidRPr="00DD15AC" w:rsidRDefault="004F2D91" w:rsidP="002668BA">
            <w:pPr>
              <w:pStyle w:val="BodyText"/>
              <w:spacing w:before="120" w:after="120"/>
              <w:jc w:val="center"/>
              <w:rPr>
                <w:rFonts w:cs="Arial"/>
                <w:b/>
                <w:bCs/>
              </w:rPr>
            </w:pPr>
            <w:r w:rsidRPr="00DD15AC">
              <w:rPr>
                <w:rFonts w:cs="Arial"/>
                <w:b/>
                <w:bCs/>
              </w:rPr>
              <w:t>1</w:t>
            </w:r>
          </w:p>
        </w:tc>
        <w:tc>
          <w:tcPr>
            <w:tcW w:w="1275" w:type="dxa"/>
            <w:vAlign w:val="center"/>
          </w:tcPr>
          <w:p w:rsidR="004F2D91" w:rsidRPr="00DD15AC" w:rsidRDefault="004F2D91" w:rsidP="002668BA">
            <w:pPr>
              <w:pStyle w:val="BodyText"/>
              <w:spacing w:before="120" w:after="120"/>
              <w:jc w:val="center"/>
              <w:rPr>
                <w:rFonts w:cs="Arial"/>
                <w:b/>
                <w:bCs/>
              </w:rPr>
            </w:pPr>
            <w:r w:rsidRPr="00DD15AC">
              <w:rPr>
                <w:rFonts w:cs="Arial"/>
                <w:b/>
                <w:bCs/>
              </w:rPr>
              <w:t>2</w:t>
            </w:r>
          </w:p>
        </w:tc>
        <w:tc>
          <w:tcPr>
            <w:tcW w:w="1134" w:type="dxa"/>
            <w:vAlign w:val="center"/>
          </w:tcPr>
          <w:p w:rsidR="004F2D91" w:rsidRPr="00DD15AC" w:rsidRDefault="004F2D91" w:rsidP="002668BA">
            <w:pPr>
              <w:pStyle w:val="BodyText"/>
              <w:spacing w:before="120" w:after="120"/>
              <w:jc w:val="center"/>
              <w:rPr>
                <w:rFonts w:cs="Arial"/>
                <w:b/>
                <w:bCs/>
              </w:rPr>
            </w:pPr>
            <w:r w:rsidRPr="00DD15AC">
              <w:rPr>
                <w:rFonts w:cs="Arial"/>
                <w:b/>
                <w:bCs/>
              </w:rPr>
              <w:t>3</w:t>
            </w:r>
          </w:p>
        </w:tc>
        <w:tc>
          <w:tcPr>
            <w:tcW w:w="1134" w:type="dxa"/>
            <w:vAlign w:val="center"/>
          </w:tcPr>
          <w:p w:rsidR="004F2D91" w:rsidRPr="00DD15AC" w:rsidRDefault="004F2D91" w:rsidP="002668BA">
            <w:pPr>
              <w:pStyle w:val="BodyText"/>
              <w:spacing w:before="120" w:after="120"/>
              <w:jc w:val="center"/>
              <w:rPr>
                <w:rFonts w:cs="Arial"/>
                <w:b/>
                <w:bCs/>
              </w:rPr>
            </w:pPr>
            <w:r w:rsidRPr="00DD15AC">
              <w:rPr>
                <w:rFonts w:cs="Arial"/>
                <w:b/>
                <w:bCs/>
              </w:rPr>
              <w:t>4</w:t>
            </w:r>
          </w:p>
        </w:tc>
        <w:tc>
          <w:tcPr>
            <w:tcW w:w="1105" w:type="dxa"/>
            <w:gridSpan w:val="2"/>
            <w:vAlign w:val="center"/>
          </w:tcPr>
          <w:p w:rsidR="004F2D91" w:rsidRPr="00DD15AC" w:rsidRDefault="004F2D91" w:rsidP="002668BA">
            <w:pPr>
              <w:pStyle w:val="BodyText"/>
              <w:spacing w:before="120" w:after="120"/>
              <w:jc w:val="center"/>
              <w:rPr>
                <w:rFonts w:cs="Arial"/>
                <w:b/>
                <w:bCs/>
              </w:rPr>
            </w:pPr>
            <w:r w:rsidRPr="00DD15AC">
              <w:rPr>
                <w:rFonts w:cs="Arial"/>
                <w:b/>
                <w:bCs/>
              </w:rPr>
              <w:t>5</w:t>
            </w:r>
          </w:p>
        </w:tc>
      </w:tr>
      <w:tr w:rsidR="004F2D91" w:rsidTr="002668BA">
        <w:tc>
          <w:tcPr>
            <w:tcW w:w="2835" w:type="dxa"/>
            <w:vAlign w:val="center"/>
          </w:tcPr>
          <w:p w:rsidR="004F2D91" w:rsidRDefault="004F2D91" w:rsidP="002668BA">
            <w:pPr>
              <w:pStyle w:val="BodyText"/>
              <w:spacing w:before="120" w:after="120"/>
              <w:jc w:val="left"/>
              <w:rPr>
                <w:rFonts w:cs="Arial"/>
                <w:bCs/>
              </w:rPr>
            </w:pPr>
            <w:r>
              <w:rPr>
                <w:rFonts w:cs="Arial"/>
                <w:bCs/>
              </w:rPr>
              <w:t>Supplementary capacity</w:t>
            </w:r>
          </w:p>
        </w:tc>
        <w:tc>
          <w:tcPr>
            <w:tcW w:w="1276" w:type="dxa"/>
            <w:vAlign w:val="center"/>
          </w:tcPr>
          <w:p w:rsidR="004F2D91" w:rsidRDefault="004F2D91" w:rsidP="002668BA">
            <w:pPr>
              <w:pStyle w:val="BodyText"/>
              <w:spacing w:before="120" w:after="120"/>
              <w:jc w:val="center"/>
              <w:rPr>
                <w:rFonts w:cs="Arial"/>
                <w:bCs/>
              </w:rPr>
            </w:pPr>
            <w:r>
              <w:rPr>
                <w:rFonts w:cs="Arial"/>
                <w:bCs/>
              </w:rPr>
              <w:t>20</w:t>
            </w:r>
          </w:p>
        </w:tc>
        <w:tc>
          <w:tcPr>
            <w:tcW w:w="1275" w:type="dxa"/>
            <w:vAlign w:val="center"/>
          </w:tcPr>
          <w:p w:rsidR="004F2D91" w:rsidRDefault="004F2D91" w:rsidP="002668BA">
            <w:pPr>
              <w:pStyle w:val="BodyText"/>
              <w:spacing w:before="120" w:after="120"/>
              <w:jc w:val="center"/>
              <w:rPr>
                <w:rFonts w:cs="Arial"/>
                <w:bCs/>
              </w:rPr>
            </w:pPr>
            <w:r>
              <w:rPr>
                <w:rFonts w:cs="Arial"/>
                <w:bCs/>
              </w:rPr>
              <w:t>20</w:t>
            </w:r>
          </w:p>
        </w:tc>
        <w:tc>
          <w:tcPr>
            <w:tcW w:w="1134" w:type="dxa"/>
            <w:vAlign w:val="center"/>
          </w:tcPr>
          <w:p w:rsidR="004F2D91" w:rsidRDefault="004F2D91" w:rsidP="002668BA">
            <w:pPr>
              <w:pStyle w:val="BodyText"/>
              <w:spacing w:before="120" w:after="120"/>
              <w:jc w:val="center"/>
              <w:rPr>
                <w:rFonts w:cs="Arial"/>
                <w:bCs/>
              </w:rPr>
            </w:pPr>
            <w:r>
              <w:rPr>
                <w:rFonts w:cs="Arial"/>
                <w:bCs/>
              </w:rPr>
              <w:t>20</w:t>
            </w:r>
          </w:p>
        </w:tc>
        <w:tc>
          <w:tcPr>
            <w:tcW w:w="1134" w:type="dxa"/>
            <w:vAlign w:val="center"/>
          </w:tcPr>
          <w:p w:rsidR="004F2D91" w:rsidRDefault="004F2D91" w:rsidP="002668BA">
            <w:pPr>
              <w:pStyle w:val="BodyText"/>
              <w:spacing w:before="120" w:after="120"/>
              <w:jc w:val="center"/>
              <w:rPr>
                <w:rFonts w:cs="Arial"/>
                <w:bCs/>
              </w:rPr>
            </w:pPr>
            <w:r>
              <w:rPr>
                <w:rFonts w:cs="Arial"/>
                <w:bCs/>
              </w:rPr>
              <w:t>20</w:t>
            </w:r>
          </w:p>
        </w:tc>
        <w:tc>
          <w:tcPr>
            <w:tcW w:w="1105" w:type="dxa"/>
            <w:gridSpan w:val="2"/>
            <w:vAlign w:val="center"/>
          </w:tcPr>
          <w:p w:rsidR="004F2D91" w:rsidRDefault="004F2D91" w:rsidP="002668BA">
            <w:pPr>
              <w:pStyle w:val="BodyText"/>
              <w:spacing w:before="120" w:after="120"/>
              <w:jc w:val="center"/>
              <w:rPr>
                <w:rFonts w:cs="Arial"/>
                <w:bCs/>
              </w:rPr>
            </w:pPr>
            <w:r>
              <w:rPr>
                <w:rFonts w:cs="Arial"/>
                <w:bCs/>
              </w:rPr>
              <w:t>20</w:t>
            </w:r>
          </w:p>
        </w:tc>
      </w:tr>
      <w:tr w:rsidR="004F2D91" w:rsidTr="002668BA">
        <w:tc>
          <w:tcPr>
            <w:tcW w:w="2835" w:type="dxa"/>
            <w:vAlign w:val="center"/>
          </w:tcPr>
          <w:p w:rsidR="004F2D91" w:rsidRDefault="004F2D91" w:rsidP="002668BA">
            <w:pPr>
              <w:pStyle w:val="BodyText"/>
              <w:spacing w:before="120" w:after="120"/>
              <w:jc w:val="left"/>
              <w:rPr>
                <w:rFonts w:cs="Arial"/>
                <w:bCs/>
              </w:rPr>
            </w:pPr>
            <w:r>
              <w:rPr>
                <w:rFonts w:cs="Arial"/>
                <w:bCs/>
              </w:rPr>
              <w:t xml:space="preserve">Standard </w:t>
            </w:r>
            <w:r w:rsidR="00FC4E5B">
              <w:rPr>
                <w:rFonts w:cs="Arial"/>
                <w:bCs/>
              </w:rPr>
              <w:t>transmission capacity (DNC</w:t>
            </w:r>
            <w:r>
              <w:rPr>
                <w:rFonts w:cs="Arial"/>
                <w:bCs/>
              </w:rPr>
              <w:t>)</w:t>
            </w:r>
          </w:p>
        </w:tc>
        <w:tc>
          <w:tcPr>
            <w:tcW w:w="1276" w:type="dxa"/>
            <w:vAlign w:val="center"/>
          </w:tcPr>
          <w:p w:rsidR="004F2D91" w:rsidRDefault="004F2D91" w:rsidP="002668BA">
            <w:pPr>
              <w:pStyle w:val="BodyText"/>
              <w:spacing w:before="120" w:after="120"/>
              <w:jc w:val="center"/>
              <w:rPr>
                <w:rFonts w:cs="Arial"/>
                <w:bCs/>
              </w:rPr>
            </w:pPr>
            <w:r>
              <w:rPr>
                <w:rFonts w:cs="Arial"/>
                <w:bCs/>
              </w:rPr>
              <w:t>100</w:t>
            </w:r>
          </w:p>
        </w:tc>
        <w:tc>
          <w:tcPr>
            <w:tcW w:w="1275" w:type="dxa"/>
            <w:vAlign w:val="center"/>
          </w:tcPr>
          <w:p w:rsidR="004F2D91" w:rsidRDefault="004F2D91" w:rsidP="002668BA">
            <w:pPr>
              <w:pStyle w:val="BodyText"/>
              <w:spacing w:before="120" w:after="120"/>
              <w:jc w:val="center"/>
              <w:rPr>
                <w:rFonts w:cs="Arial"/>
                <w:bCs/>
              </w:rPr>
            </w:pPr>
            <w:r>
              <w:rPr>
                <w:rFonts w:cs="Arial"/>
                <w:bCs/>
              </w:rPr>
              <w:t>100</w:t>
            </w:r>
          </w:p>
        </w:tc>
        <w:tc>
          <w:tcPr>
            <w:tcW w:w="1134" w:type="dxa"/>
            <w:vAlign w:val="center"/>
          </w:tcPr>
          <w:p w:rsidR="004F2D91" w:rsidRPr="004F2D91" w:rsidRDefault="004F2D91" w:rsidP="002668BA">
            <w:pPr>
              <w:pStyle w:val="BodyText"/>
              <w:spacing w:before="120" w:after="120"/>
              <w:jc w:val="center"/>
              <w:rPr>
                <w:rFonts w:cs="Arial"/>
                <w:bCs/>
              </w:rPr>
            </w:pPr>
            <w:r w:rsidRPr="004F2D91">
              <w:rPr>
                <w:rFonts w:cs="Arial"/>
                <w:bCs/>
              </w:rPr>
              <w:t>100</w:t>
            </w:r>
          </w:p>
        </w:tc>
        <w:tc>
          <w:tcPr>
            <w:tcW w:w="1134" w:type="dxa"/>
            <w:vAlign w:val="center"/>
          </w:tcPr>
          <w:p w:rsidR="004F2D91" w:rsidRDefault="004F2D91" w:rsidP="002668BA">
            <w:pPr>
              <w:pStyle w:val="BodyText"/>
              <w:spacing w:before="120" w:after="120"/>
              <w:jc w:val="center"/>
              <w:rPr>
                <w:rFonts w:cs="Arial"/>
                <w:bCs/>
              </w:rPr>
            </w:pPr>
            <w:r>
              <w:rPr>
                <w:rFonts w:cs="Arial"/>
                <w:bCs/>
              </w:rPr>
              <w:t>100</w:t>
            </w:r>
          </w:p>
        </w:tc>
        <w:tc>
          <w:tcPr>
            <w:tcW w:w="1105" w:type="dxa"/>
            <w:gridSpan w:val="2"/>
            <w:vAlign w:val="center"/>
          </w:tcPr>
          <w:p w:rsidR="004F2D91" w:rsidRDefault="004F2D91" w:rsidP="002668BA">
            <w:pPr>
              <w:pStyle w:val="BodyText"/>
              <w:spacing w:before="120" w:after="120"/>
              <w:jc w:val="center"/>
              <w:rPr>
                <w:rFonts w:cs="Arial"/>
                <w:bCs/>
              </w:rPr>
            </w:pPr>
            <w:r>
              <w:rPr>
                <w:rFonts w:cs="Arial"/>
                <w:bCs/>
              </w:rPr>
              <w:t>100</w:t>
            </w:r>
          </w:p>
        </w:tc>
      </w:tr>
      <w:tr w:rsidR="004F2D91" w:rsidTr="002668BA">
        <w:tc>
          <w:tcPr>
            <w:tcW w:w="2835" w:type="dxa"/>
            <w:vAlign w:val="center"/>
          </w:tcPr>
          <w:p w:rsidR="004F2D91" w:rsidRDefault="004F2D91" w:rsidP="002668BA">
            <w:pPr>
              <w:pStyle w:val="BodyText"/>
              <w:spacing w:before="120" w:after="120"/>
              <w:jc w:val="left"/>
              <w:rPr>
                <w:rFonts w:cs="Arial"/>
                <w:bCs/>
              </w:rPr>
            </w:pPr>
            <w:r>
              <w:rPr>
                <w:rFonts w:cs="Arial"/>
                <w:bCs/>
              </w:rPr>
              <w:t xml:space="preserve">Transmission incentive </w:t>
            </w:r>
            <w:r w:rsidR="00891529">
              <w:rPr>
                <w:rFonts w:cs="Arial"/>
                <w:bCs/>
              </w:rPr>
              <w:t>charges</w:t>
            </w:r>
          </w:p>
        </w:tc>
        <w:tc>
          <w:tcPr>
            <w:tcW w:w="1276" w:type="dxa"/>
            <w:vAlign w:val="center"/>
          </w:tcPr>
          <w:p w:rsidR="004F2D91" w:rsidRPr="004F2D91" w:rsidRDefault="00891529" w:rsidP="002668BA">
            <w:pPr>
              <w:pStyle w:val="BodyText"/>
              <w:spacing w:before="120" w:after="120"/>
              <w:jc w:val="center"/>
              <w:rPr>
                <w:rFonts w:cs="Arial"/>
                <w:bCs/>
                <w:color w:val="FF0000"/>
              </w:rPr>
            </w:pPr>
            <w:r>
              <w:rPr>
                <w:rFonts w:cs="Arial"/>
                <w:bCs/>
                <w:noProof/>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-19050</wp:posOffset>
                      </wp:positionV>
                      <wp:extent cx="419100" cy="381000"/>
                      <wp:effectExtent l="0" t="0" r="19050" b="19050"/>
                      <wp:wrapNone/>
                      <wp:docPr id="1" name="Oval 1"/>
                      <wp:cNvGraphicFramePr/>
                      <a:graphic xmlns:a="http://schemas.openxmlformats.org/drawingml/2006/main">
                        <a:graphicData uri="http://schemas.microsoft.com/office/word/2010/wordprocessingShape">
                          <wps:wsp>
                            <wps:cNvSpPr/>
                            <wps:spPr>
                              <a:xfrm>
                                <a:off x="0" y="0"/>
                                <a:ext cx="419100"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73B66" id="Oval 1" o:spid="_x0000_s1026" style="position:absolute;margin-left:8.55pt;margin-top:-1.5pt;width:3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" filled="f" strokecolor="red" strokeweight="1pt">
                      <v:stroke joinstyle="miter"/>
                    </v:oval>
                  </w:pict>
                </mc:Fallback>
              </mc:AlternateContent>
            </w:r>
            <w:r w:rsidR="004F2D91" w:rsidRPr="004F2D91">
              <w:rPr>
                <w:rFonts w:cs="Arial"/>
                <w:bCs/>
              </w:rPr>
              <w:t>-</w:t>
            </w:r>
          </w:p>
        </w:tc>
        <w:tc>
          <w:tcPr>
            <w:tcW w:w="1275" w:type="dxa"/>
            <w:vAlign w:val="center"/>
          </w:tcPr>
          <w:p w:rsidR="004F2D91" w:rsidRDefault="004F2D91" w:rsidP="002668BA">
            <w:pPr>
              <w:pStyle w:val="BodyText"/>
              <w:spacing w:before="120" w:after="120"/>
              <w:jc w:val="center"/>
              <w:rPr>
                <w:rFonts w:cs="Arial"/>
                <w:bCs/>
              </w:rPr>
            </w:pPr>
            <w:r>
              <w:rPr>
                <w:rFonts w:cs="Arial"/>
                <w:bCs/>
              </w:rPr>
              <w:t>-</w:t>
            </w:r>
          </w:p>
        </w:tc>
        <w:tc>
          <w:tcPr>
            <w:tcW w:w="1134" w:type="dxa"/>
            <w:vAlign w:val="center"/>
          </w:tcPr>
          <w:p w:rsidR="004F2D91" w:rsidRDefault="004F2D91" w:rsidP="002668BA">
            <w:pPr>
              <w:pStyle w:val="BodyText"/>
              <w:spacing w:before="120" w:after="120"/>
              <w:jc w:val="center"/>
              <w:rPr>
                <w:rFonts w:cs="Arial"/>
                <w:bCs/>
              </w:rPr>
            </w:pPr>
            <w:r>
              <w:rPr>
                <w:rFonts w:cs="Arial"/>
                <w:bCs/>
              </w:rPr>
              <w:t>-</w:t>
            </w:r>
          </w:p>
        </w:tc>
        <w:tc>
          <w:tcPr>
            <w:tcW w:w="1134" w:type="dxa"/>
            <w:vAlign w:val="center"/>
          </w:tcPr>
          <w:p w:rsidR="004F2D91" w:rsidRDefault="004F2D91" w:rsidP="002668BA">
            <w:pPr>
              <w:pStyle w:val="BodyText"/>
              <w:spacing w:before="120" w:after="120"/>
              <w:jc w:val="center"/>
              <w:rPr>
                <w:rFonts w:cs="Arial"/>
                <w:bCs/>
              </w:rPr>
            </w:pPr>
            <w:r>
              <w:rPr>
                <w:rFonts w:cs="Arial"/>
                <w:bCs/>
              </w:rPr>
              <w:t>-</w:t>
            </w:r>
          </w:p>
        </w:tc>
        <w:tc>
          <w:tcPr>
            <w:tcW w:w="1105" w:type="dxa"/>
            <w:gridSpan w:val="2"/>
            <w:vAlign w:val="center"/>
          </w:tcPr>
          <w:p w:rsidR="004F2D91" w:rsidRDefault="004F2D91" w:rsidP="002668BA">
            <w:pPr>
              <w:pStyle w:val="BodyText"/>
              <w:spacing w:before="120" w:after="120"/>
              <w:jc w:val="center"/>
              <w:rPr>
                <w:rFonts w:cs="Arial"/>
                <w:bCs/>
              </w:rPr>
            </w:pPr>
            <w:r>
              <w:rPr>
                <w:rFonts w:cs="Arial"/>
                <w:bCs/>
              </w:rPr>
              <w:t>-</w:t>
            </w:r>
          </w:p>
        </w:tc>
      </w:tr>
      <w:tr w:rsidR="004F2D91" w:rsidTr="002668BA">
        <w:tc>
          <w:tcPr>
            <w:tcW w:w="2835" w:type="dxa"/>
            <w:vAlign w:val="center"/>
          </w:tcPr>
          <w:p w:rsidR="004F2D91" w:rsidRPr="00AA2F5F" w:rsidRDefault="004F2D91" w:rsidP="002668BA">
            <w:pPr>
              <w:pStyle w:val="BodyText"/>
              <w:spacing w:before="120" w:after="120"/>
              <w:jc w:val="left"/>
              <w:rPr>
                <w:rFonts w:cs="Arial"/>
                <w:b/>
                <w:bCs/>
              </w:rPr>
            </w:pPr>
            <w:r w:rsidRPr="00AA2F5F">
              <w:rPr>
                <w:rFonts w:cs="Arial"/>
                <w:b/>
                <w:bCs/>
              </w:rPr>
              <w:t>Total revenue</w:t>
            </w:r>
          </w:p>
        </w:tc>
        <w:tc>
          <w:tcPr>
            <w:tcW w:w="1276" w:type="dxa"/>
            <w:vAlign w:val="center"/>
          </w:tcPr>
          <w:p w:rsidR="004F2D91" w:rsidRPr="004F2D91" w:rsidRDefault="004F2D91" w:rsidP="002668BA">
            <w:pPr>
              <w:pStyle w:val="BodyText"/>
              <w:spacing w:before="120" w:after="120"/>
              <w:jc w:val="center"/>
              <w:rPr>
                <w:rFonts w:cs="Arial"/>
                <w:b/>
                <w:bCs/>
              </w:rPr>
            </w:pPr>
            <w:r w:rsidRPr="004F2D91">
              <w:rPr>
                <w:rFonts w:cs="Arial"/>
                <w:b/>
                <w:bCs/>
              </w:rPr>
              <w:t>120</w:t>
            </w:r>
          </w:p>
        </w:tc>
        <w:tc>
          <w:tcPr>
            <w:tcW w:w="1275" w:type="dxa"/>
            <w:vAlign w:val="center"/>
          </w:tcPr>
          <w:p w:rsidR="004F2D91" w:rsidRPr="00AA2F5F" w:rsidRDefault="004F2D91" w:rsidP="002668BA">
            <w:pPr>
              <w:pStyle w:val="BodyText"/>
              <w:spacing w:before="120" w:after="120"/>
              <w:jc w:val="center"/>
              <w:rPr>
                <w:rFonts w:cs="Arial"/>
                <w:b/>
                <w:bCs/>
              </w:rPr>
            </w:pPr>
            <w:r w:rsidRPr="00AA2F5F">
              <w:rPr>
                <w:rFonts w:cs="Arial"/>
                <w:b/>
                <w:bCs/>
              </w:rPr>
              <w:t>120</w:t>
            </w:r>
          </w:p>
        </w:tc>
        <w:tc>
          <w:tcPr>
            <w:tcW w:w="1134" w:type="dxa"/>
            <w:vAlign w:val="center"/>
          </w:tcPr>
          <w:p w:rsidR="004F2D91" w:rsidRPr="004F2D91" w:rsidRDefault="004F2D91" w:rsidP="002668BA">
            <w:pPr>
              <w:pStyle w:val="BodyText"/>
              <w:spacing w:before="120" w:after="120"/>
              <w:jc w:val="center"/>
              <w:rPr>
                <w:rFonts w:cs="Arial"/>
                <w:b/>
                <w:bCs/>
              </w:rPr>
            </w:pPr>
            <w:r w:rsidRPr="004F2D91">
              <w:rPr>
                <w:rFonts w:cs="Arial"/>
                <w:b/>
                <w:bCs/>
              </w:rPr>
              <w:t>120</w:t>
            </w:r>
          </w:p>
        </w:tc>
        <w:tc>
          <w:tcPr>
            <w:tcW w:w="1134" w:type="dxa"/>
            <w:vAlign w:val="center"/>
          </w:tcPr>
          <w:p w:rsidR="004F2D91" w:rsidRPr="00AA2F5F" w:rsidRDefault="004F2D91" w:rsidP="002668BA">
            <w:pPr>
              <w:pStyle w:val="BodyText"/>
              <w:spacing w:before="120" w:after="120"/>
              <w:jc w:val="center"/>
              <w:rPr>
                <w:rFonts w:cs="Arial"/>
                <w:b/>
                <w:bCs/>
              </w:rPr>
            </w:pPr>
            <w:r w:rsidRPr="00AA2F5F">
              <w:rPr>
                <w:rFonts w:cs="Arial"/>
                <w:b/>
                <w:bCs/>
              </w:rPr>
              <w:t>120</w:t>
            </w:r>
          </w:p>
        </w:tc>
        <w:tc>
          <w:tcPr>
            <w:tcW w:w="1105" w:type="dxa"/>
            <w:gridSpan w:val="2"/>
            <w:vAlign w:val="center"/>
          </w:tcPr>
          <w:p w:rsidR="004F2D91" w:rsidRPr="00AA2F5F" w:rsidRDefault="004F2D91" w:rsidP="002668BA">
            <w:pPr>
              <w:pStyle w:val="BodyText"/>
              <w:spacing w:before="120" w:after="120"/>
              <w:jc w:val="center"/>
              <w:rPr>
                <w:rFonts w:cs="Arial"/>
                <w:b/>
                <w:bCs/>
              </w:rPr>
            </w:pPr>
            <w:r w:rsidRPr="00AA2F5F">
              <w:rPr>
                <w:rFonts w:cs="Arial"/>
                <w:b/>
                <w:bCs/>
              </w:rPr>
              <w:t>120</w:t>
            </w:r>
          </w:p>
        </w:tc>
      </w:tr>
    </w:tbl>
    <w:p w:rsidR="004F2D91" w:rsidRDefault="004F2D91" w:rsidP="00E15E8A">
      <w:pPr>
        <w:pStyle w:val="BodyText"/>
        <w:spacing w:after="120"/>
        <w:rPr>
          <w:rFonts w:cs="Arial"/>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7"/>
        <w:gridCol w:w="666"/>
        <w:gridCol w:w="675"/>
        <w:gridCol w:w="676"/>
        <w:gridCol w:w="663"/>
        <w:gridCol w:w="690"/>
        <w:gridCol w:w="668"/>
        <w:gridCol w:w="642"/>
        <w:gridCol w:w="682"/>
        <w:gridCol w:w="682"/>
        <w:gridCol w:w="664"/>
        <w:gridCol w:w="682"/>
        <w:gridCol w:w="619"/>
      </w:tblGrid>
      <w:tr w:rsidR="004F2D91" w:rsidTr="004F2D91">
        <w:tc>
          <w:tcPr>
            <w:tcW w:w="1017" w:type="dxa"/>
          </w:tcPr>
          <w:p w:rsidR="004F2D91" w:rsidRDefault="004F2D91" w:rsidP="00E15E8A">
            <w:pPr>
              <w:pStyle w:val="BodyText"/>
              <w:spacing w:after="120"/>
              <w:rPr>
                <w:rFonts w:cs="Arial"/>
                <w:bCs/>
              </w:rPr>
            </w:pPr>
            <w:r>
              <w:rPr>
                <w:rFonts w:cs="Arial"/>
                <w:bCs/>
              </w:rPr>
              <w:t>Incentive fees</w:t>
            </w:r>
          </w:p>
        </w:tc>
        <w:tc>
          <w:tcPr>
            <w:tcW w:w="666" w:type="dxa"/>
          </w:tcPr>
          <w:p w:rsidR="004F2D91" w:rsidRDefault="004F2D91" w:rsidP="004F2D91">
            <w:pPr>
              <w:pStyle w:val="BodyText"/>
              <w:spacing w:after="120"/>
              <w:jc w:val="center"/>
              <w:rPr>
                <w:rFonts w:cs="Arial"/>
                <w:bCs/>
              </w:rPr>
            </w:pPr>
            <w:r>
              <w:rPr>
                <w:rFonts w:cs="Arial"/>
                <w:bCs/>
              </w:rPr>
              <w:t>Jan</w:t>
            </w:r>
          </w:p>
        </w:tc>
        <w:tc>
          <w:tcPr>
            <w:tcW w:w="675" w:type="dxa"/>
          </w:tcPr>
          <w:p w:rsidR="004F2D91" w:rsidRDefault="004F2D91" w:rsidP="004F2D91">
            <w:pPr>
              <w:pStyle w:val="BodyText"/>
              <w:spacing w:after="120"/>
              <w:jc w:val="center"/>
              <w:rPr>
                <w:rFonts w:cs="Arial"/>
                <w:bCs/>
              </w:rPr>
            </w:pPr>
            <w:r>
              <w:rPr>
                <w:rFonts w:cs="Arial"/>
                <w:bCs/>
              </w:rPr>
              <w:t>Feb</w:t>
            </w:r>
          </w:p>
        </w:tc>
        <w:tc>
          <w:tcPr>
            <w:tcW w:w="676" w:type="dxa"/>
          </w:tcPr>
          <w:p w:rsidR="004F2D91" w:rsidRDefault="004F2D91" w:rsidP="004F2D91">
            <w:pPr>
              <w:pStyle w:val="BodyText"/>
              <w:spacing w:after="120"/>
              <w:jc w:val="center"/>
              <w:rPr>
                <w:rFonts w:cs="Arial"/>
                <w:bCs/>
              </w:rPr>
            </w:pPr>
            <w:r>
              <w:rPr>
                <w:rFonts w:cs="Arial"/>
                <w:bCs/>
              </w:rPr>
              <w:t>Mar</w:t>
            </w:r>
          </w:p>
        </w:tc>
        <w:tc>
          <w:tcPr>
            <w:tcW w:w="663" w:type="dxa"/>
          </w:tcPr>
          <w:p w:rsidR="004F2D91" w:rsidRDefault="004F2D91" w:rsidP="004F2D91">
            <w:pPr>
              <w:pStyle w:val="BodyText"/>
              <w:spacing w:after="120"/>
              <w:jc w:val="center"/>
              <w:rPr>
                <w:rFonts w:cs="Arial"/>
                <w:bCs/>
              </w:rPr>
            </w:pPr>
            <w:r>
              <w:rPr>
                <w:rFonts w:cs="Arial"/>
                <w:bCs/>
              </w:rPr>
              <w:t>Apr</w:t>
            </w:r>
          </w:p>
        </w:tc>
        <w:tc>
          <w:tcPr>
            <w:tcW w:w="690" w:type="dxa"/>
          </w:tcPr>
          <w:p w:rsidR="004F2D91" w:rsidRDefault="004F2D91" w:rsidP="004F2D91">
            <w:pPr>
              <w:pStyle w:val="BodyText"/>
              <w:spacing w:after="120"/>
              <w:jc w:val="center"/>
              <w:rPr>
                <w:rFonts w:cs="Arial"/>
                <w:bCs/>
              </w:rPr>
            </w:pPr>
            <w:r>
              <w:rPr>
                <w:rFonts w:cs="Arial"/>
                <w:bCs/>
              </w:rPr>
              <w:t>May</w:t>
            </w:r>
          </w:p>
        </w:tc>
        <w:tc>
          <w:tcPr>
            <w:tcW w:w="668" w:type="dxa"/>
          </w:tcPr>
          <w:p w:rsidR="004F2D91" w:rsidRDefault="004F2D91" w:rsidP="004F2D91">
            <w:pPr>
              <w:pStyle w:val="BodyText"/>
              <w:spacing w:after="120"/>
              <w:jc w:val="center"/>
              <w:rPr>
                <w:rFonts w:cs="Arial"/>
                <w:bCs/>
              </w:rPr>
            </w:pPr>
            <w:r>
              <w:rPr>
                <w:rFonts w:cs="Arial"/>
                <w:bCs/>
              </w:rPr>
              <w:t>Jun</w:t>
            </w:r>
          </w:p>
        </w:tc>
        <w:tc>
          <w:tcPr>
            <w:tcW w:w="642" w:type="dxa"/>
          </w:tcPr>
          <w:p w:rsidR="004F2D91" w:rsidRDefault="004F2D91" w:rsidP="004F2D91">
            <w:pPr>
              <w:pStyle w:val="BodyText"/>
              <w:spacing w:after="120"/>
              <w:jc w:val="center"/>
              <w:rPr>
                <w:rFonts w:cs="Arial"/>
                <w:bCs/>
              </w:rPr>
            </w:pPr>
            <w:r>
              <w:rPr>
                <w:rFonts w:cs="Arial"/>
                <w:bCs/>
              </w:rPr>
              <w:t>Jul</w:t>
            </w:r>
          </w:p>
        </w:tc>
        <w:tc>
          <w:tcPr>
            <w:tcW w:w="682" w:type="dxa"/>
          </w:tcPr>
          <w:p w:rsidR="004F2D91" w:rsidRDefault="004F2D91" w:rsidP="004F2D91">
            <w:pPr>
              <w:pStyle w:val="BodyText"/>
              <w:spacing w:after="120"/>
              <w:jc w:val="center"/>
              <w:rPr>
                <w:rFonts w:cs="Arial"/>
                <w:bCs/>
              </w:rPr>
            </w:pPr>
            <w:r>
              <w:rPr>
                <w:rFonts w:cs="Arial"/>
                <w:bCs/>
              </w:rPr>
              <w:t>Aug</w:t>
            </w:r>
          </w:p>
        </w:tc>
        <w:tc>
          <w:tcPr>
            <w:tcW w:w="682" w:type="dxa"/>
          </w:tcPr>
          <w:p w:rsidR="004F2D91" w:rsidRDefault="004F2D91" w:rsidP="004F2D91">
            <w:pPr>
              <w:pStyle w:val="BodyText"/>
              <w:spacing w:after="120"/>
              <w:jc w:val="center"/>
              <w:rPr>
                <w:rFonts w:cs="Arial"/>
                <w:bCs/>
              </w:rPr>
            </w:pPr>
            <w:r>
              <w:rPr>
                <w:rFonts w:cs="Arial"/>
                <w:bCs/>
              </w:rPr>
              <w:t>Sep</w:t>
            </w:r>
          </w:p>
        </w:tc>
        <w:tc>
          <w:tcPr>
            <w:tcW w:w="664" w:type="dxa"/>
          </w:tcPr>
          <w:p w:rsidR="004F2D91" w:rsidRDefault="004F2D91" w:rsidP="004F2D91">
            <w:pPr>
              <w:pStyle w:val="BodyText"/>
              <w:spacing w:after="120"/>
              <w:jc w:val="center"/>
              <w:rPr>
                <w:rFonts w:cs="Arial"/>
                <w:bCs/>
              </w:rPr>
            </w:pPr>
            <w:r>
              <w:rPr>
                <w:rFonts w:cs="Arial"/>
                <w:bCs/>
              </w:rPr>
              <w:t>Oct</w:t>
            </w:r>
          </w:p>
        </w:tc>
        <w:tc>
          <w:tcPr>
            <w:tcW w:w="682" w:type="dxa"/>
          </w:tcPr>
          <w:p w:rsidR="004F2D91" w:rsidRDefault="004F2D91" w:rsidP="004F2D91">
            <w:pPr>
              <w:pStyle w:val="BodyText"/>
              <w:spacing w:after="120"/>
              <w:jc w:val="center"/>
              <w:rPr>
                <w:rFonts w:cs="Arial"/>
                <w:bCs/>
              </w:rPr>
            </w:pPr>
            <w:r>
              <w:rPr>
                <w:rFonts w:cs="Arial"/>
                <w:bCs/>
              </w:rPr>
              <w:t>Nov</w:t>
            </w:r>
          </w:p>
        </w:tc>
        <w:tc>
          <w:tcPr>
            <w:tcW w:w="619" w:type="dxa"/>
          </w:tcPr>
          <w:p w:rsidR="004F2D91" w:rsidRDefault="004F2D91" w:rsidP="004F2D91">
            <w:pPr>
              <w:pStyle w:val="BodyText"/>
              <w:spacing w:after="120"/>
              <w:jc w:val="center"/>
              <w:rPr>
                <w:rFonts w:cs="Arial"/>
                <w:bCs/>
              </w:rPr>
            </w:pPr>
            <w:r>
              <w:rPr>
                <w:rFonts w:cs="Arial"/>
                <w:bCs/>
              </w:rPr>
              <w:t>Dec</w:t>
            </w:r>
          </w:p>
        </w:tc>
      </w:tr>
      <w:tr w:rsidR="004F2D91" w:rsidTr="004F2D91">
        <w:tc>
          <w:tcPr>
            <w:tcW w:w="1017" w:type="dxa"/>
          </w:tcPr>
          <w:p w:rsidR="004F2D91" w:rsidRDefault="004F2D91" w:rsidP="00E15E8A">
            <w:pPr>
              <w:pStyle w:val="BodyText"/>
              <w:spacing w:after="120"/>
              <w:rPr>
                <w:rFonts w:cs="Arial"/>
                <w:bCs/>
              </w:rPr>
            </w:pPr>
            <w:r>
              <w:rPr>
                <w:rFonts w:cs="Arial"/>
                <w:bCs/>
              </w:rPr>
              <w:t>Charged</w:t>
            </w:r>
          </w:p>
        </w:tc>
        <w:tc>
          <w:tcPr>
            <w:tcW w:w="666" w:type="dxa"/>
          </w:tcPr>
          <w:p w:rsidR="004F2D91" w:rsidRDefault="004F2D91" w:rsidP="004F2D91">
            <w:pPr>
              <w:pStyle w:val="BodyText"/>
              <w:spacing w:after="120"/>
              <w:jc w:val="center"/>
              <w:rPr>
                <w:rFonts w:cs="Arial"/>
                <w:bCs/>
              </w:rPr>
            </w:pPr>
            <w:r>
              <w:rPr>
                <w:rFonts w:cs="Arial"/>
                <w:bCs/>
              </w:rPr>
              <w:t>0.5</w:t>
            </w:r>
          </w:p>
        </w:tc>
        <w:tc>
          <w:tcPr>
            <w:tcW w:w="675" w:type="dxa"/>
          </w:tcPr>
          <w:p w:rsidR="004F2D91" w:rsidRDefault="004F2D91" w:rsidP="004F2D91">
            <w:pPr>
              <w:pStyle w:val="BodyText"/>
              <w:spacing w:after="120"/>
              <w:jc w:val="center"/>
              <w:rPr>
                <w:rFonts w:cs="Arial"/>
                <w:bCs/>
              </w:rPr>
            </w:pPr>
            <w:r>
              <w:rPr>
                <w:rFonts w:cs="Arial"/>
                <w:bCs/>
              </w:rPr>
              <w:t>0.5</w:t>
            </w:r>
          </w:p>
        </w:tc>
        <w:tc>
          <w:tcPr>
            <w:tcW w:w="676" w:type="dxa"/>
          </w:tcPr>
          <w:p w:rsidR="004F2D91" w:rsidRDefault="004F2D91" w:rsidP="004F2D91">
            <w:pPr>
              <w:pStyle w:val="BodyText"/>
              <w:spacing w:after="120"/>
              <w:jc w:val="center"/>
              <w:rPr>
                <w:rFonts w:cs="Arial"/>
                <w:bCs/>
              </w:rPr>
            </w:pPr>
            <w:r>
              <w:rPr>
                <w:rFonts w:cs="Arial"/>
                <w:bCs/>
              </w:rPr>
              <w:t>0.5</w:t>
            </w:r>
          </w:p>
        </w:tc>
        <w:tc>
          <w:tcPr>
            <w:tcW w:w="663" w:type="dxa"/>
          </w:tcPr>
          <w:p w:rsidR="004F2D91" w:rsidRDefault="004F2D91" w:rsidP="004F2D91">
            <w:pPr>
              <w:pStyle w:val="BodyText"/>
              <w:spacing w:after="120"/>
              <w:jc w:val="center"/>
              <w:rPr>
                <w:rFonts w:cs="Arial"/>
                <w:bCs/>
              </w:rPr>
            </w:pPr>
            <w:r>
              <w:rPr>
                <w:rFonts w:cs="Arial"/>
                <w:bCs/>
              </w:rPr>
              <w:t>0.5</w:t>
            </w:r>
          </w:p>
        </w:tc>
        <w:tc>
          <w:tcPr>
            <w:tcW w:w="690" w:type="dxa"/>
          </w:tcPr>
          <w:p w:rsidR="004F2D91" w:rsidRDefault="004F2D91" w:rsidP="004F2D91">
            <w:pPr>
              <w:pStyle w:val="BodyText"/>
              <w:spacing w:after="120"/>
              <w:jc w:val="center"/>
              <w:rPr>
                <w:rFonts w:cs="Arial"/>
                <w:bCs/>
              </w:rPr>
            </w:pPr>
            <w:r>
              <w:rPr>
                <w:rFonts w:cs="Arial"/>
                <w:bCs/>
              </w:rPr>
              <w:t>1</w:t>
            </w:r>
          </w:p>
        </w:tc>
        <w:tc>
          <w:tcPr>
            <w:tcW w:w="668" w:type="dxa"/>
          </w:tcPr>
          <w:p w:rsidR="004F2D91" w:rsidRDefault="004F2D91" w:rsidP="004F2D91">
            <w:pPr>
              <w:pStyle w:val="BodyText"/>
              <w:spacing w:after="120"/>
              <w:jc w:val="center"/>
              <w:rPr>
                <w:rFonts w:cs="Arial"/>
                <w:bCs/>
              </w:rPr>
            </w:pPr>
            <w:r>
              <w:rPr>
                <w:rFonts w:cs="Arial"/>
                <w:bCs/>
              </w:rPr>
              <w:t>1</w:t>
            </w:r>
          </w:p>
        </w:tc>
        <w:tc>
          <w:tcPr>
            <w:tcW w:w="642" w:type="dxa"/>
          </w:tcPr>
          <w:p w:rsidR="004F2D91" w:rsidRDefault="004F2D91" w:rsidP="004F2D91">
            <w:pPr>
              <w:pStyle w:val="BodyText"/>
              <w:spacing w:after="120"/>
              <w:jc w:val="center"/>
              <w:rPr>
                <w:rFonts w:cs="Arial"/>
                <w:bCs/>
              </w:rPr>
            </w:pPr>
            <w:r>
              <w:rPr>
                <w:rFonts w:cs="Arial"/>
                <w:bCs/>
              </w:rPr>
              <w:t>1</w:t>
            </w:r>
          </w:p>
        </w:tc>
        <w:tc>
          <w:tcPr>
            <w:tcW w:w="682" w:type="dxa"/>
          </w:tcPr>
          <w:p w:rsidR="004F2D91" w:rsidRDefault="004F2D91" w:rsidP="004F2D91">
            <w:pPr>
              <w:pStyle w:val="BodyText"/>
              <w:spacing w:after="120"/>
              <w:jc w:val="center"/>
              <w:rPr>
                <w:rFonts w:cs="Arial"/>
                <w:bCs/>
              </w:rPr>
            </w:pPr>
            <w:r>
              <w:rPr>
                <w:rFonts w:cs="Arial"/>
                <w:bCs/>
              </w:rPr>
              <w:t>4</w:t>
            </w:r>
          </w:p>
        </w:tc>
        <w:tc>
          <w:tcPr>
            <w:tcW w:w="682" w:type="dxa"/>
          </w:tcPr>
          <w:p w:rsidR="004F2D91" w:rsidRDefault="004F2D91" w:rsidP="004F2D91">
            <w:pPr>
              <w:pStyle w:val="BodyText"/>
              <w:spacing w:after="120"/>
              <w:jc w:val="center"/>
              <w:rPr>
                <w:rFonts w:cs="Arial"/>
                <w:bCs/>
              </w:rPr>
            </w:pPr>
            <w:r>
              <w:rPr>
                <w:rFonts w:cs="Arial"/>
                <w:bCs/>
              </w:rPr>
              <w:t>2</w:t>
            </w:r>
          </w:p>
        </w:tc>
        <w:tc>
          <w:tcPr>
            <w:tcW w:w="664" w:type="dxa"/>
          </w:tcPr>
          <w:p w:rsidR="004F2D91" w:rsidRDefault="004F2D91" w:rsidP="004F2D91">
            <w:pPr>
              <w:pStyle w:val="BodyText"/>
              <w:spacing w:after="120"/>
              <w:jc w:val="center"/>
              <w:rPr>
                <w:rFonts w:cs="Arial"/>
                <w:bCs/>
              </w:rPr>
            </w:pPr>
            <w:r>
              <w:rPr>
                <w:rFonts w:cs="Arial"/>
                <w:bCs/>
              </w:rPr>
              <w:t>2</w:t>
            </w:r>
          </w:p>
        </w:tc>
        <w:tc>
          <w:tcPr>
            <w:tcW w:w="682" w:type="dxa"/>
          </w:tcPr>
          <w:p w:rsidR="004F2D91" w:rsidRDefault="004F2D91" w:rsidP="004F2D91">
            <w:pPr>
              <w:pStyle w:val="BodyText"/>
              <w:spacing w:after="120"/>
              <w:jc w:val="center"/>
              <w:rPr>
                <w:rFonts w:cs="Arial"/>
                <w:bCs/>
              </w:rPr>
            </w:pPr>
            <w:r>
              <w:rPr>
                <w:rFonts w:cs="Arial"/>
                <w:bCs/>
              </w:rPr>
              <w:t>1</w:t>
            </w:r>
          </w:p>
        </w:tc>
        <w:tc>
          <w:tcPr>
            <w:tcW w:w="619" w:type="dxa"/>
          </w:tcPr>
          <w:p w:rsidR="004F2D91" w:rsidRDefault="004F2D91" w:rsidP="004F2D91">
            <w:pPr>
              <w:pStyle w:val="BodyText"/>
              <w:spacing w:after="120"/>
              <w:jc w:val="center"/>
              <w:rPr>
                <w:rFonts w:cs="Arial"/>
                <w:bCs/>
              </w:rPr>
            </w:pPr>
            <w:r>
              <w:rPr>
                <w:rFonts w:cs="Arial"/>
                <w:bCs/>
              </w:rPr>
              <w:t>1</w:t>
            </w:r>
          </w:p>
        </w:tc>
      </w:tr>
      <w:tr w:rsidR="004F2D91" w:rsidTr="004F2D91">
        <w:tc>
          <w:tcPr>
            <w:tcW w:w="1017" w:type="dxa"/>
          </w:tcPr>
          <w:p w:rsidR="004F2D91" w:rsidRDefault="004F2D91" w:rsidP="004F2D91">
            <w:pPr>
              <w:pStyle w:val="BodyText"/>
              <w:spacing w:after="120"/>
              <w:rPr>
                <w:rFonts w:cs="Arial"/>
                <w:bCs/>
              </w:rPr>
            </w:pPr>
            <w:r>
              <w:rPr>
                <w:rFonts w:cs="Arial"/>
                <w:bCs/>
              </w:rPr>
              <w:t>Rebated</w:t>
            </w:r>
          </w:p>
        </w:tc>
        <w:tc>
          <w:tcPr>
            <w:tcW w:w="666" w:type="dxa"/>
          </w:tcPr>
          <w:p w:rsidR="004F2D91" w:rsidRDefault="004F2D91" w:rsidP="004F2D91">
            <w:pPr>
              <w:pStyle w:val="BodyText"/>
              <w:spacing w:after="120"/>
              <w:jc w:val="center"/>
              <w:rPr>
                <w:rFonts w:cs="Arial"/>
                <w:bCs/>
              </w:rPr>
            </w:pPr>
            <w:r>
              <w:rPr>
                <w:rFonts w:cs="Arial"/>
                <w:bCs/>
              </w:rPr>
              <w:t>-0.5</w:t>
            </w:r>
          </w:p>
        </w:tc>
        <w:tc>
          <w:tcPr>
            <w:tcW w:w="675" w:type="dxa"/>
          </w:tcPr>
          <w:p w:rsidR="004F2D91" w:rsidRDefault="004F2D91" w:rsidP="004F2D91">
            <w:pPr>
              <w:pStyle w:val="BodyText"/>
              <w:spacing w:after="120"/>
              <w:jc w:val="center"/>
              <w:rPr>
                <w:rFonts w:cs="Arial"/>
                <w:bCs/>
              </w:rPr>
            </w:pPr>
            <w:r>
              <w:rPr>
                <w:rFonts w:cs="Arial"/>
                <w:bCs/>
              </w:rPr>
              <w:t>-0.5</w:t>
            </w:r>
          </w:p>
        </w:tc>
        <w:tc>
          <w:tcPr>
            <w:tcW w:w="676" w:type="dxa"/>
          </w:tcPr>
          <w:p w:rsidR="004F2D91" w:rsidRDefault="004F2D91" w:rsidP="004F2D91">
            <w:pPr>
              <w:pStyle w:val="BodyText"/>
              <w:spacing w:after="120"/>
              <w:jc w:val="center"/>
              <w:rPr>
                <w:rFonts w:cs="Arial"/>
                <w:bCs/>
              </w:rPr>
            </w:pPr>
            <w:r>
              <w:rPr>
                <w:rFonts w:cs="Arial"/>
                <w:bCs/>
              </w:rPr>
              <w:t>-0.5</w:t>
            </w:r>
          </w:p>
        </w:tc>
        <w:tc>
          <w:tcPr>
            <w:tcW w:w="663" w:type="dxa"/>
          </w:tcPr>
          <w:p w:rsidR="004F2D91" w:rsidRDefault="004F2D91" w:rsidP="004F2D91">
            <w:pPr>
              <w:pStyle w:val="BodyText"/>
              <w:spacing w:after="120"/>
              <w:jc w:val="center"/>
              <w:rPr>
                <w:rFonts w:cs="Arial"/>
                <w:bCs/>
              </w:rPr>
            </w:pPr>
            <w:r>
              <w:rPr>
                <w:rFonts w:cs="Arial"/>
                <w:bCs/>
              </w:rPr>
              <w:t>-0.5</w:t>
            </w:r>
          </w:p>
        </w:tc>
        <w:tc>
          <w:tcPr>
            <w:tcW w:w="690" w:type="dxa"/>
          </w:tcPr>
          <w:p w:rsidR="004F2D91" w:rsidRDefault="004F2D91" w:rsidP="004F2D91">
            <w:pPr>
              <w:pStyle w:val="BodyText"/>
              <w:spacing w:after="120"/>
              <w:jc w:val="center"/>
              <w:rPr>
                <w:rFonts w:cs="Arial"/>
                <w:bCs/>
              </w:rPr>
            </w:pPr>
            <w:r>
              <w:rPr>
                <w:rFonts w:cs="Arial"/>
                <w:bCs/>
              </w:rPr>
              <w:t>-1</w:t>
            </w:r>
          </w:p>
        </w:tc>
        <w:tc>
          <w:tcPr>
            <w:tcW w:w="668" w:type="dxa"/>
          </w:tcPr>
          <w:p w:rsidR="004F2D91" w:rsidRDefault="004F2D91" w:rsidP="004F2D91">
            <w:pPr>
              <w:pStyle w:val="BodyText"/>
              <w:spacing w:after="120"/>
              <w:jc w:val="center"/>
              <w:rPr>
                <w:rFonts w:cs="Arial"/>
                <w:bCs/>
              </w:rPr>
            </w:pPr>
            <w:r>
              <w:rPr>
                <w:rFonts w:cs="Arial"/>
                <w:bCs/>
              </w:rPr>
              <w:t>-1</w:t>
            </w:r>
          </w:p>
        </w:tc>
        <w:tc>
          <w:tcPr>
            <w:tcW w:w="642" w:type="dxa"/>
          </w:tcPr>
          <w:p w:rsidR="004F2D91" w:rsidRDefault="004F2D91" w:rsidP="004F2D91">
            <w:pPr>
              <w:pStyle w:val="BodyText"/>
              <w:spacing w:after="120"/>
              <w:jc w:val="center"/>
              <w:rPr>
                <w:rFonts w:cs="Arial"/>
                <w:bCs/>
              </w:rPr>
            </w:pPr>
            <w:r>
              <w:rPr>
                <w:rFonts w:cs="Arial"/>
                <w:bCs/>
              </w:rPr>
              <w:t>-1</w:t>
            </w:r>
          </w:p>
        </w:tc>
        <w:tc>
          <w:tcPr>
            <w:tcW w:w="682" w:type="dxa"/>
          </w:tcPr>
          <w:p w:rsidR="004F2D91" w:rsidRDefault="004F2D91" w:rsidP="004F2D91">
            <w:pPr>
              <w:pStyle w:val="BodyText"/>
              <w:spacing w:after="120"/>
              <w:jc w:val="center"/>
              <w:rPr>
                <w:rFonts w:cs="Arial"/>
                <w:bCs/>
              </w:rPr>
            </w:pPr>
            <w:r>
              <w:rPr>
                <w:rFonts w:cs="Arial"/>
                <w:bCs/>
              </w:rPr>
              <w:t>-4</w:t>
            </w:r>
          </w:p>
        </w:tc>
        <w:tc>
          <w:tcPr>
            <w:tcW w:w="682" w:type="dxa"/>
          </w:tcPr>
          <w:p w:rsidR="004F2D91" w:rsidRDefault="004F2D91" w:rsidP="004F2D91">
            <w:pPr>
              <w:pStyle w:val="BodyText"/>
              <w:spacing w:after="120"/>
              <w:jc w:val="center"/>
              <w:rPr>
                <w:rFonts w:cs="Arial"/>
                <w:bCs/>
              </w:rPr>
            </w:pPr>
            <w:r>
              <w:rPr>
                <w:rFonts w:cs="Arial"/>
                <w:bCs/>
              </w:rPr>
              <w:t>-2</w:t>
            </w:r>
          </w:p>
        </w:tc>
        <w:tc>
          <w:tcPr>
            <w:tcW w:w="664" w:type="dxa"/>
          </w:tcPr>
          <w:p w:rsidR="004F2D91" w:rsidRDefault="004F2D91" w:rsidP="004F2D91">
            <w:pPr>
              <w:pStyle w:val="BodyText"/>
              <w:spacing w:after="120"/>
              <w:jc w:val="center"/>
              <w:rPr>
                <w:rFonts w:cs="Arial"/>
                <w:bCs/>
              </w:rPr>
            </w:pPr>
            <w:r>
              <w:rPr>
                <w:rFonts w:cs="Arial"/>
                <w:bCs/>
              </w:rPr>
              <w:t>-2</w:t>
            </w:r>
          </w:p>
        </w:tc>
        <w:tc>
          <w:tcPr>
            <w:tcW w:w="682" w:type="dxa"/>
          </w:tcPr>
          <w:p w:rsidR="004F2D91" w:rsidRDefault="004F2D91" w:rsidP="004F2D91">
            <w:pPr>
              <w:pStyle w:val="BodyText"/>
              <w:spacing w:after="120"/>
              <w:jc w:val="center"/>
              <w:rPr>
                <w:rFonts w:cs="Arial"/>
                <w:bCs/>
              </w:rPr>
            </w:pPr>
            <w:r>
              <w:rPr>
                <w:rFonts w:cs="Arial"/>
                <w:bCs/>
              </w:rPr>
              <w:t>-1</w:t>
            </w:r>
          </w:p>
        </w:tc>
        <w:tc>
          <w:tcPr>
            <w:tcW w:w="619" w:type="dxa"/>
          </w:tcPr>
          <w:p w:rsidR="004F2D91" w:rsidRDefault="004F2D91" w:rsidP="004F2D91">
            <w:pPr>
              <w:pStyle w:val="BodyText"/>
              <w:spacing w:after="120"/>
              <w:jc w:val="center"/>
              <w:rPr>
                <w:rFonts w:cs="Arial"/>
                <w:bCs/>
              </w:rPr>
            </w:pPr>
            <w:r>
              <w:rPr>
                <w:rFonts w:cs="Arial"/>
                <w:bCs/>
              </w:rPr>
              <w:t>-1</w:t>
            </w:r>
          </w:p>
        </w:tc>
      </w:tr>
    </w:tbl>
    <w:p w:rsidR="004F2D91" w:rsidRDefault="004F2D91" w:rsidP="00E15E8A">
      <w:pPr>
        <w:pStyle w:val="BodyText"/>
        <w:spacing w:after="120"/>
        <w:rPr>
          <w:rFonts w:cs="Arial"/>
          <w:bCs/>
        </w:rPr>
      </w:pPr>
    </w:p>
    <w:p w:rsidR="003D1562" w:rsidRPr="00922379" w:rsidRDefault="00891529" w:rsidP="00E15E8A">
      <w:pPr>
        <w:pStyle w:val="BodyText"/>
        <w:spacing w:after="120"/>
        <w:rPr>
          <w:rFonts w:cs="Arial"/>
          <w:b/>
          <w:bCs/>
        </w:rPr>
      </w:pPr>
      <w:r>
        <w:rPr>
          <w:rFonts w:cs="Arial"/>
          <w:b/>
          <w:bCs/>
        </w:rPr>
        <w:t>Concerns raised on the rebate proposal</w:t>
      </w:r>
    </w:p>
    <w:p w:rsidR="001360DC" w:rsidRDefault="00891529" w:rsidP="00E15E8A">
      <w:pPr>
        <w:pStyle w:val="BodyText"/>
        <w:spacing w:after="120"/>
        <w:rPr>
          <w:rFonts w:cs="Arial"/>
          <w:bCs/>
        </w:rPr>
      </w:pPr>
      <w:r>
        <w:rPr>
          <w:rFonts w:cs="Arial"/>
          <w:bCs/>
        </w:rPr>
        <w:t xml:space="preserve">Submissions on the Second Revised Draft GTAC </w:t>
      </w:r>
      <w:r w:rsidR="001360DC">
        <w:rPr>
          <w:rFonts w:cs="Arial"/>
          <w:bCs/>
        </w:rPr>
        <w:t xml:space="preserve">raised </w:t>
      </w:r>
      <w:r>
        <w:rPr>
          <w:rFonts w:cs="Arial"/>
          <w:bCs/>
        </w:rPr>
        <w:t xml:space="preserve">concerns </w:t>
      </w:r>
      <w:r w:rsidR="001360DC">
        <w:rPr>
          <w:rFonts w:cs="Arial"/>
          <w:bCs/>
        </w:rPr>
        <w:t>that rebates</w:t>
      </w:r>
      <w:r>
        <w:rPr>
          <w:rFonts w:cs="Arial"/>
          <w:bCs/>
        </w:rPr>
        <w:t xml:space="preserve"> might</w:t>
      </w:r>
      <w:r w:rsidR="001360DC">
        <w:rPr>
          <w:rFonts w:cs="Arial"/>
          <w:bCs/>
        </w:rPr>
        <w:t>:</w:t>
      </w:r>
    </w:p>
    <w:p w:rsidR="001360DC" w:rsidRDefault="001360DC" w:rsidP="001360DC">
      <w:pPr>
        <w:pStyle w:val="BodyText"/>
        <w:numPr>
          <w:ilvl w:val="0"/>
          <w:numId w:val="22"/>
        </w:numPr>
        <w:spacing w:after="120"/>
        <w:rPr>
          <w:rFonts w:cs="Arial"/>
          <w:bCs/>
        </w:rPr>
      </w:pPr>
      <w:r>
        <w:rPr>
          <w:rFonts w:cs="Arial"/>
          <w:bCs/>
        </w:rPr>
        <w:t>Favour larger shippers</w:t>
      </w:r>
    </w:p>
    <w:p w:rsidR="001360DC" w:rsidRDefault="001360DC" w:rsidP="001360DC">
      <w:pPr>
        <w:pStyle w:val="BodyText"/>
        <w:numPr>
          <w:ilvl w:val="0"/>
          <w:numId w:val="22"/>
        </w:numPr>
        <w:spacing w:after="120"/>
        <w:rPr>
          <w:rFonts w:cs="Arial"/>
          <w:bCs/>
        </w:rPr>
      </w:pPr>
      <w:r>
        <w:rPr>
          <w:rFonts w:cs="Arial"/>
          <w:bCs/>
        </w:rPr>
        <w:lastRenderedPageBreak/>
        <w:t>Distort</w:t>
      </w:r>
      <w:r w:rsidRPr="001360DC">
        <w:rPr>
          <w:rFonts w:cs="Arial"/>
          <w:bCs/>
        </w:rPr>
        <w:t xml:space="preserve"> the incentives under the GTAC, including </w:t>
      </w:r>
      <w:r w:rsidR="00891529">
        <w:rPr>
          <w:rFonts w:cs="Arial"/>
          <w:bCs/>
        </w:rPr>
        <w:t>to ensure</w:t>
      </w:r>
      <w:r w:rsidRPr="001360DC">
        <w:rPr>
          <w:rFonts w:cs="Arial"/>
          <w:bCs/>
        </w:rPr>
        <w:t xml:space="preserve"> accurate daily nominations and the need to procure Priority Rights</w:t>
      </w:r>
    </w:p>
    <w:p w:rsidR="00F01531" w:rsidRDefault="00F01531" w:rsidP="001360DC">
      <w:pPr>
        <w:pStyle w:val="BodyText"/>
        <w:numPr>
          <w:ilvl w:val="0"/>
          <w:numId w:val="22"/>
        </w:numPr>
        <w:spacing w:after="120"/>
        <w:rPr>
          <w:rFonts w:cs="Arial"/>
          <w:bCs/>
        </w:rPr>
      </w:pPr>
      <w:r>
        <w:rPr>
          <w:rFonts w:cs="Arial"/>
          <w:bCs/>
        </w:rPr>
        <w:t>Require changes to downstream gas contracts that result in the rebates not being passed through to end-users of gas.</w:t>
      </w:r>
    </w:p>
    <w:p w:rsidR="00891529" w:rsidRDefault="00FC4E5B" w:rsidP="00891529">
      <w:pPr>
        <w:pStyle w:val="BodyText"/>
        <w:spacing w:after="120"/>
        <w:rPr>
          <w:rFonts w:cs="Arial"/>
          <w:bCs/>
        </w:rPr>
      </w:pPr>
      <w:r>
        <w:rPr>
          <w:rFonts w:cs="Arial"/>
          <w:bCs/>
        </w:rPr>
        <w:t xml:space="preserve">We have considered these concerns and provide a response in the following paragraphs. We conclude that the proposed form of rebates </w:t>
      </w:r>
      <w:r w:rsidR="00F01531">
        <w:rPr>
          <w:rFonts w:cs="Arial"/>
          <w:bCs/>
        </w:rPr>
        <w:t xml:space="preserve">is unlikely to </w:t>
      </w:r>
      <w:r>
        <w:rPr>
          <w:rFonts w:cs="Arial"/>
          <w:bCs/>
        </w:rPr>
        <w:t>have the claimed effects, and any such effects would in any case be outweighed by the benefits described above. We do consider, however, that (if implemented as currently proposed) rebates of transmission incentive charges should be reviewed after they have been implemented to evaluate their impact.</w:t>
      </w:r>
    </w:p>
    <w:p w:rsidR="00FC4E5B" w:rsidRDefault="00FC4E5B" w:rsidP="00891529">
      <w:pPr>
        <w:pStyle w:val="BodyText"/>
        <w:spacing w:after="120"/>
        <w:rPr>
          <w:rFonts w:cs="Arial"/>
          <w:bCs/>
        </w:rPr>
      </w:pPr>
      <w:r>
        <w:rPr>
          <w:rFonts w:cs="Arial"/>
          <w:bCs/>
        </w:rPr>
        <w:t>We do not believe that the proposed rebates favour larger shippers any more than the current recycling of transmission incentive charges via the First Gas revenue wash-up account. This is because (ignoring supplementary capacity) the revenue earned from standard transmission charges and incentives needs to equal the revenue cap. If First Gas under-forecasts incentive revenues in year 1, then standard transmission fees (i.e. DNC) will be higher in year 1 and lower in year 3 (as shown above). These standard transmission fees are the measure that is used to pro-rate the rebates under the GTAC – which means that all parties will receive the same amount of incentive charge rebates under the code, regardless of their size.</w:t>
      </w:r>
    </w:p>
    <w:p w:rsidR="002C5FFD" w:rsidRDefault="00FC4E5B" w:rsidP="00891529">
      <w:pPr>
        <w:pStyle w:val="BodyText"/>
        <w:spacing w:after="120"/>
        <w:rPr>
          <w:rFonts w:cs="Arial"/>
          <w:bCs/>
        </w:rPr>
      </w:pPr>
      <w:r>
        <w:rPr>
          <w:rFonts w:cs="Arial"/>
          <w:bCs/>
        </w:rPr>
        <w:t>We also do not consider that rebates distort</w:t>
      </w:r>
      <w:r w:rsidRPr="001360DC">
        <w:rPr>
          <w:rFonts w:cs="Arial"/>
          <w:bCs/>
        </w:rPr>
        <w:t xml:space="preserve"> the incentives under the GTAC</w:t>
      </w:r>
      <w:r>
        <w:rPr>
          <w:rFonts w:cs="Arial"/>
          <w:bCs/>
        </w:rPr>
        <w:t>. We accept that t</w:t>
      </w:r>
      <w:r w:rsidRPr="00FC4E5B">
        <w:rPr>
          <w:rFonts w:cs="Arial"/>
          <w:bCs/>
        </w:rPr>
        <w:t xml:space="preserve">o be non-distortionary, </w:t>
      </w:r>
      <w:r w:rsidR="00F01531">
        <w:rPr>
          <w:rFonts w:cs="Arial"/>
          <w:bCs/>
        </w:rPr>
        <w:t>rebates</w:t>
      </w:r>
      <w:r>
        <w:rPr>
          <w:rFonts w:cs="Arial"/>
          <w:bCs/>
        </w:rPr>
        <w:t xml:space="preserve"> </w:t>
      </w:r>
      <w:r w:rsidR="00F01531">
        <w:rPr>
          <w:rFonts w:cs="Arial"/>
          <w:bCs/>
        </w:rPr>
        <w:t xml:space="preserve">should </w:t>
      </w:r>
      <w:r w:rsidRPr="00FC4E5B">
        <w:rPr>
          <w:rFonts w:cs="Arial"/>
          <w:bCs/>
        </w:rPr>
        <w:t xml:space="preserve">be </w:t>
      </w:r>
      <w:r w:rsidR="002C5FFD">
        <w:rPr>
          <w:rFonts w:cs="Arial"/>
          <w:bCs/>
        </w:rPr>
        <w:t xml:space="preserve">recycled </w:t>
      </w:r>
      <w:r w:rsidRPr="00FC4E5B">
        <w:rPr>
          <w:rFonts w:cs="Arial"/>
          <w:bCs/>
        </w:rPr>
        <w:t xml:space="preserve">against something </w:t>
      </w:r>
      <w:r w:rsidR="002C5FFD">
        <w:rPr>
          <w:rFonts w:cs="Arial"/>
          <w:bCs/>
        </w:rPr>
        <w:t xml:space="preserve">that the party </w:t>
      </w:r>
      <w:r w:rsidR="00F01531">
        <w:rPr>
          <w:rFonts w:cs="Arial"/>
          <w:bCs/>
        </w:rPr>
        <w:t xml:space="preserve">will </w:t>
      </w:r>
      <w:r w:rsidR="002C5FFD">
        <w:rPr>
          <w:rFonts w:cs="Arial"/>
          <w:bCs/>
        </w:rPr>
        <w:t xml:space="preserve">not </w:t>
      </w:r>
      <w:r w:rsidRPr="00FC4E5B">
        <w:rPr>
          <w:rFonts w:cs="Arial"/>
          <w:bCs/>
        </w:rPr>
        <w:t>change</w:t>
      </w:r>
      <w:r w:rsidR="002C5FFD">
        <w:rPr>
          <w:rFonts w:cs="Arial"/>
          <w:bCs/>
        </w:rPr>
        <w:t xml:space="preserve"> due to the </w:t>
      </w:r>
      <w:r w:rsidR="00F01531">
        <w:rPr>
          <w:rFonts w:cs="Arial"/>
          <w:bCs/>
        </w:rPr>
        <w:t xml:space="preserve">existence of the </w:t>
      </w:r>
      <w:r w:rsidR="002C5FFD">
        <w:rPr>
          <w:rFonts w:cs="Arial"/>
          <w:bCs/>
        </w:rPr>
        <w:t>rebate</w:t>
      </w:r>
      <w:r w:rsidRPr="00FC4E5B">
        <w:rPr>
          <w:rFonts w:cs="Arial"/>
          <w:bCs/>
        </w:rPr>
        <w:t>.</w:t>
      </w:r>
      <w:r w:rsidR="002C5FFD">
        <w:rPr>
          <w:rFonts w:cs="Arial"/>
          <w:bCs/>
        </w:rPr>
        <w:t xml:space="preserve"> </w:t>
      </w:r>
      <w:r w:rsidR="00F01531">
        <w:rPr>
          <w:rFonts w:cs="Arial"/>
          <w:bCs/>
        </w:rPr>
        <w:t>In our view, t</w:t>
      </w:r>
      <w:r w:rsidR="002C5FFD">
        <w:rPr>
          <w:rFonts w:cs="Arial"/>
          <w:bCs/>
        </w:rPr>
        <w:t>his makes DNC the ideal candidate for not distorting decisions – a point that was explained in our “</w:t>
      </w:r>
      <w:r w:rsidR="002C5FFD" w:rsidRPr="002C5FFD">
        <w:rPr>
          <w:rFonts w:cs="Arial"/>
          <w:bCs/>
        </w:rPr>
        <w:t>GTAC Emerging Views on Detailed Design</w:t>
      </w:r>
      <w:r w:rsidR="002C5FFD">
        <w:rPr>
          <w:rFonts w:cs="Arial"/>
          <w:bCs/>
        </w:rPr>
        <w:t xml:space="preserve">” paper </w:t>
      </w:r>
      <w:r w:rsidR="00F01531">
        <w:rPr>
          <w:rFonts w:cs="Arial"/>
          <w:bCs/>
        </w:rPr>
        <w:t xml:space="preserve">in relation to recycling revenue from PR auctions </w:t>
      </w:r>
      <w:r w:rsidR="002C5FFD">
        <w:rPr>
          <w:rFonts w:cs="Arial"/>
          <w:bCs/>
        </w:rPr>
        <w:t>(on p21).</w:t>
      </w:r>
      <w:r w:rsidR="002C5FFD" w:rsidRPr="002C5FFD">
        <w:rPr>
          <w:rFonts w:cs="Arial"/>
          <w:bCs/>
        </w:rPr>
        <w:t xml:space="preserve"> </w:t>
      </w:r>
      <w:r w:rsidR="002C5FFD">
        <w:rPr>
          <w:rFonts w:cs="Arial"/>
          <w:bCs/>
        </w:rPr>
        <w:t>Submitters generally agreed with our proposal for refunding PR revenue</w:t>
      </w:r>
      <w:r w:rsidR="00F01531">
        <w:rPr>
          <w:rFonts w:cs="Arial"/>
          <w:bCs/>
        </w:rPr>
        <w:t xml:space="preserve">. While there are differences between transmission incentive fees and PRs, </w:t>
      </w:r>
      <w:r w:rsidR="002C5FFD">
        <w:rPr>
          <w:rFonts w:cs="Arial"/>
          <w:bCs/>
        </w:rPr>
        <w:t>in our view the same logic applies to transmission incentive charges.</w:t>
      </w:r>
    </w:p>
    <w:p w:rsidR="00F01531" w:rsidRDefault="002C5FFD" w:rsidP="00891529">
      <w:pPr>
        <w:pStyle w:val="BodyText"/>
        <w:spacing w:after="120"/>
        <w:rPr>
          <w:rFonts w:cs="Arial"/>
          <w:bCs/>
        </w:rPr>
      </w:pPr>
      <w:r>
        <w:rPr>
          <w:rFonts w:cs="Arial"/>
          <w:bCs/>
        </w:rPr>
        <w:t xml:space="preserve">In its most recent submission, Trustpower raised the specific concern that interactions between PRs and the proposed rebates might create distortions (see Appendix D of the Trustpower submission). </w:t>
      </w:r>
      <w:r w:rsidR="00663BAC">
        <w:rPr>
          <w:rFonts w:cs="Arial"/>
          <w:bCs/>
        </w:rPr>
        <w:t xml:space="preserve">We consider that the fact scenario described by Trustpower would result in different outcomes that those hypothesised. </w:t>
      </w:r>
      <w:r w:rsidR="00C874E0">
        <w:rPr>
          <w:rFonts w:cs="Arial"/>
          <w:bCs/>
        </w:rPr>
        <w:t>This is because the rebate of incentive charges will be based on total DNC</w:t>
      </w:r>
      <w:r w:rsidR="00663BAC">
        <w:rPr>
          <w:rFonts w:cs="Arial"/>
          <w:bCs/>
        </w:rPr>
        <w:t xml:space="preserve"> </w:t>
      </w:r>
      <w:r w:rsidR="00C874E0">
        <w:rPr>
          <w:rFonts w:cs="Arial"/>
          <w:bCs/>
        </w:rPr>
        <w:t>across the system, not just the DNC charges paid at a particular location. We do not expect a shipper to ever be comfortable paying higher incentive charges due to the prospect of receiving some of it back via a rebate, since the majority of that revenue will in fact be credited to other parties.</w:t>
      </w:r>
      <w:r w:rsidR="00F01531">
        <w:rPr>
          <w:rFonts w:cs="Arial"/>
          <w:bCs/>
        </w:rPr>
        <w:t xml:space="preserve"> We also don’t expect the existence of rebates to change a party’s willingness to pay for PRs, since they will pay a multiple of the DNC charge at congested locations if their requests for DNC are curtailed.</w:t>
      </w:r>
    </w:p>
    <w:p w:rsidR="00FC4E5B" w:rsidRPr="00E15E8A" w:rsidRDefault="00F01531" w:rsidP="00891529">
      <w:pPr>
        <w:pStyle w:val="BodyText"/>
        <w:spacing w:after="120"/>
        <w:rPr>
          <w:rFonts w:cs="Arial"/>
          <w:bCs/>
        </w:rPr>
      </w:pPr>
      <w:r>
        <w:rPr>
          <w:rFonts w:cs="Arial"/>
          <w:bCs/>
        </w:rPr>
        <w:t xml:space="preserve">In response to the final point listed above that rebates may not being passed through to end-users of gas, </w:t>
      </w:r>
      <w:r w:rsidR="00CC2BE4">
        <w:rPr>
          <w:rFonts w:cs="Arial"/>
          <w:bCs/>
        </w:rPr>
        <w:t>we do not have sufficient knowledge or understanding of those contracts to say with certainty how rebates will be passed through (if at all). However, we are comforted by the fact that the proposed rebates will be transparent and known to end-users. How the rebates are ultimately passed through will then be the subject of negotiation between shippers and end-users, most likely as part of renegotiating their contracts to align with other elements of the new code arrangements.</w:t>
      </w:r>
      <w:bookmarkStart w:id="0" w:name="_GoBack"/>
      <w:bookmarkEnd w:id="0"/>
      <w:r w:rsidR="00C874E0">
        <w:rPr>
          <w:rFonts w:cs="Arial"/>
          <w:bCs/>
        </w:rPr>
        <w:t xml:space="preserve"> </w:t>
      </w:r>
    </w:p>
    <w:sectPr w:rsidR="00FC4E5B" w:rsidRPr="00E15E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31" w:rsidRDefault="00F01531" w:rsidP="00F6451A">
      <w:pPr>
        <w:spacing w:after="0" w:line="240" w:lineRule="auto"/>
      </w:pPr>
      <w:r>
        <w:separator/>
      </w:r>
    </w:p>
  </w:endnote>
  <w:endnote w:type="continuationSeparator" w:id="0">
    <w:p w:rsidR="00F01531" w:rsidRDefault="00F01531" w:rsidP="00F6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27621"/>
      <w:docPartObj>
        <w:docPartGallery w:val="Page Numbers (Bottom of Page)"/>
        <w:docPartUnique/>
      </w:docPartObj>
    </w:sdtPr>
    <w:sdtEndPr>
      <w:rPr>
        <w:noProof/>
      </w:rPr>
    </w:sdtEndPr>
    <w:sdtContent>
      <w:p w:rsidR="00F01531" w:rsidRDefault="00F01531">
        <w:pPr>
          <w:pStyle w:val="Footer"/>
          <w:jc w:val="right"/>
        </w:pPr>
        <w:r>
          <w:fldChar w:fldCharType="begin"/>
        </w:r>
        <w:r>
          <w:instrText xml:space="preserve"> PAGE   \* MERGEFORMAT </w:instrText>
        </w:r>
        <w:r>
          <w:fldChar w:fldCharType="separate"/>
        </w:r>
        <w:r w:rsidR="00CC2BE4">
          <w:rPr>
            <w:noProof/>
          </w:rPr>
          <w:t>1</w:t>
        </w:r>
        <w:r>
          <w:rPr>
            <w:noProof/>
          </w:rPr>
          <w:fldChar w:fldCharType="end"/>
        </w:r>
      </w:p>
    </w:sdtContent>
  </w:sdt>
  <w:p w:rsidR="00F01531" w:rsidRDefault="00F0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31" w:rsidRDefault="00F01531" w:rsidP="00F6451A">
      <w:pPr>
        <w:spacing w:after="0" w:line="240" w:lineRule="auto"/>
      </w:pPr>
      <w:r>
        <w:separator/>
      </w:r>
    </w:p>
  </w:footnote>
  <w:footnote w:type="continuationSeparator" w:id="0">
    <w:p w:rsidR="00F01531" w:rsidRDefault="00F01531" w:rsidP="00F64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31" w:rsidRDefault="00F01531">
    <w:pPr>
      <w:pStyle w:val="Header"/>
    </w:pPr>
    <w:r>
      <w:rPr>
        <w:noProof/>
        <w:lang w:eastAsia="en-NZ"/>
      </w:rPr>
      <w:drawing>
        <wp:anchor distT="0" distB="0" distL="114300" distR="114300" simplePos="0" relativeHeight="251658240" behindDoc="0" locked="0" layoutInCell="1" allowOverlap="1" wp14:anchorId="7A267B3D" wp14:editId="3152CBDF">
          <wp:simplePos x="0" y="0"/>
          <wp:positionH relativeFrom="column">
            <wp:posOffset>4425950</wp:posOffset>
          </wp:positionH>
          <wp:positionV relativeFrom="paragraph">
            <wp:posOffset>-144780</wp:posOffset>
          </wp:positionV>
          <wp:extent cx="1076325" cy="333375"/>
          <wp:effectExtent l="0" t="0" r="9525" b="9525"/>
          <wp:wrapSquare wrapText="bothSides"/>
          <wp:docPr id="4" name="Picture 4" descr="FirstGas RGB LOGO"/>
          <wp:cNvGraphicFramePr/>
          <a:graphic xmlns:a="http://schemas.openxmlformats.org/drawingml/2006/main">
            <a:graphicData uri="http://schemas.openxmlformats.org/drawingml/2006/picture">
              <pic:pic xmlns:pic="http://schemas.openxmlformats.org/drawingml/2006/picture">
                <pic:nvPicPr>
                  <pic:cNvPr id="1" name="Picture 1" descr="FirstGas RGB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anchor>
      </w:drawing>
    </w:r>
  </w:p>
  <w:p w:rsidR="00F01531" w:rsidRDefault="00F0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DD4"/>
    <w:multiLevelType w:val="hybridMultilevel"/>
    <w:tmpl w:val="0B54E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853CA5"/>
    <w:multiLevelType w:val="hybridMultilevel"/>
    <w:tmpl w:val="AAAE8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B61F3D"/>
    <w:multiLevelType w:val="hybridMultilevel"/>
    <w:tmpl w:val="2EB8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FB2BB2"/>
    <w:multiLevelType w:val="hybridMultilevel"/>
    <w:tmpl w:val="80AE0A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81D1575"/>
    <w:multiLevelType w:val="hybridMultilevel"/>
    <w:tmpl w:val="D11CB3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4801E8"/>
    <w:multiLevelType w:val="hybridMultilevel"/>
    <w:tmpl w:val="B3FEC8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AB05668"/>
    <w:multiLevelType w:val="hybridMultilevel"/>
    <w:tmpl w:val="5BF07D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A40BED"/>
    <w:multiLevelType w:val="hybridMultilevel"/>
    <w:tmpl w:val="68B0C5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24239EA"/>
    <w:multiLevelType w:val="hybridMultilevel"/>
    <w:tmpl w:val="2966A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613B62"/>
    <w:multiLevelType w:val="hybridMultilevel"/>
    <w:tmpl w:val="76AE6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4A85E4D"/>
    <w:multiLevelType w:val="hybridMultilevel"/>
    <w:tmpl w:val="F4E81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E0C0E79"/>
    <w:multiLevelType w:val="hybridMultilevel"/>
    <w:tmpl w:val="CEA8BF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4757E4"/>
    <w:multiLevelType w:val="hybridMultilevel"/>
    <w:tmpl w:val="1848F1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5ED5ABF"/>
    <w:multiLevelType w:val="hybridMultilevel"/>
    <w:tmpl w:val="2B1A09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8B1BD0"/>
    <w:multiLevelType w:val="hybridMultilevel"/>
    <w:tmpl w:val="532649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BB77368"/>
    <w:multiLevelType w:val="hybridMultilevel"/>
    <w:tmpl w:val="4822CD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72157D"/>
    <w:multiLevelType w:val="hybridMultilevel"/>
    <w:tmpl w:val="1A5C8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B714FF3"/>
    <w:multiLevelType w:val="hybridMultilevel"/>
    <w:tmpl w:val="CB2250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C9C03FA"/>
    <w:multiLevelType w:val="hybridMultilevel"/>
    <w:tmpl w:val="773E26A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6BF8505D"/>
    <w:multiLevelType w:val="hybridMultilevel"/>
    <w:tmpl w:val="B1A47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CEF5B35"/>
    <w:multiLevelType w:val="hybridMultilevel"/>
    <w:tmpl w:val="8AF0A8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8EE18F1"/>
    <w:multiLevelType w:val="hybridMultilevel"/>
    <w:tmpl w:val="381019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D004FDC"/>
    <w:multiLevelType w:val="hybridMultilevel"/>
    <w:tmpl w:val="EA0C62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1"/>
  </w:num>
  <w:num w:numId="4">
    <w:abstractNumId w:val="16"/>
  </w:num>
  <w:num w:numId="5">
    <w:abstractNumId w:val="9"/>
  </w:num>
  <w:num w:numId="6">
    <w:abstractNumId w:val="10"/>
  </w:num>
  <w:num w:numId="7">
    <w:abstractNumId w:val="3"/>
  </w:num>
  <w:num w:numId="8">
    <w:abstractNumId w:val="13"/>
  </w:num>
  <w:num w:numId="9">
    <w:abstractNumId w:val="20"/>
  </w:num>
  <w:num w:numId="10">
    <w:abstractNumId w:val="18"/>
  </w:num>
  <w:num w:numId="11">
    <w:abstractNumId w:val="14"/>
  </w:num>
  <w:num w:numId="12">
    <w:abstractNumId w:val="15"/>
  </w:num>
  <w:num w:numId="13">
    <w:abstractNumId w:val="0"/>
  </w:num>
  <w:num w:numId="14">
    <w:abstractNumId w:val="19"/>
  </w:num>
  <w:num w:numId="15">
    <w:abstractNumId w:val="1"/>
  </w:num>
  <w:num w:numId="16">
    <w:abstractNumId w:val="2"/>
  </w:num>
  <w:num w:numId="17">
    <w:abstractNumId w:val="22"/>
  </w:num>
  <w:num w:numId="18">
    <w:abstractNumId w:val="7"/>
  </w:num>
  <w:num w:numId="19">
    <w:abstractNumId w:val="4"/>
  </w:num>
  <w:num w:numId="20">
    <w:abstractNumId w:val="17"/>
  </w:num>
  <w:num w:numId="21">
    <w:abstractNumId w:val="5"/>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59"/>
    <w:rsid w:val="00001A81"/>
    <w:rsid w:val="000126A0"/>
    <w:rsid w:val="0003063F"/>
    <w:rsid w:val="00073946"/>
    <w:rsid w:val="00077F85"/>
    <w:rsid w:val="00094B0C"/>
    <w:rsid w:val="000A5694"/>
    <w:rsid w:val="000B4284"/>
    <w:rsid w:val="000C6B2C"/>
    <w:rsid w:val="000D13E8"/>
    <w:rsid w:val="000D5EC5"/>
    <w:rsid w:val="00111636"/>
    <w:rsid w:val="001233E5"/>
    <w:rsid w:val="001360DC"/>
    <w:rsid w:val="00144EA1"/>
    <w:rsid w:val="00151DA2"/>
    <w:rsid w:val="0017215E"/>
    <w:rsid w:val="001811FD"/>
    <w:rsid w:val="001816A4"/>
    <w:rsid w:val="001832E0"/>
    <w:rsid w:val="00187B36"/>
    <w:rsid w:val="001A37A4"/>
    <w:rsid w:val="001C20F6"/>
    <w:rsid w:val="001D3724"/>
    <w:rsid w:val="00220424"/>
    <w:rsid w:val="00230441"/>
    <w:rsid w:val="002509E0"/>
    <w:rsid w:val="002668BA"/>
    <w:rsid w:val="00272549"/>
    <w:rsid w:val="00292567"/>
    <w:rsid w:val="00295186"/>
    <w:rsid w:val="002972AA"/>
    <w:rsid w:val="002B24F5"/>
    <w:rsid w:val="002B3431"/>
    <w:rsid w:val="002C5FFD"/>
    <w:rsid w:val="002D0187"/>
    <w:rsid w:val="002D147F"/>
    <w:rsid w:val="002D67D8"/>
    <w:rsid w:val="002F435F"/>
    <w:rsid w:val="0031439D"/>
    <w:rsid w:val="00345F15"/>
    <w:rsid w:val="00365B75"/>
    <w:rsid w:val="003671D9"/>
    <w:rsid w:val="00371559"/>
    <w:rsid w:val="003A09AA"/>
    <w:rsid w:val="003C649D"/>
    <w:rsid w:val="003D1562"/>
    <w:rsid w:val="003E3744"/>
    <w:rsid w:val="003F1D4F"/>
    <w:rsid w:val="00431502"/>
    <w:rsid w:val="004476FD"/>
    <w:rsid w:val="00494D50"/>
    <w:rsid w:val="004D0E13"/>
    <w:rsid w:val="004F2D91"/>
    <w:rsid w:val="004F6015"/>
    <w:rsid w:val="00507608"/>
    <w:rsid w:val="00511CDE"/>
    <w:rsid w:val="00521614"/>
    <w:rsid w:val="0052359D"/>
    <w:rsid w:val="005260AA"/>
    <w:rsid w:val="00533B6A"/>
    <w:rsid w:val="005464FD"/>
    <w:rsid w:val="00580568"/>
    <w:rsid w:val="00582077"/>
    <w:rsid w:val="005A5ABF"/>
    <w:rsid w:val="005C2D78"/>
    <w:rsid w:val="0063423A"/>
    <w:rsid w:val="00640204"/>
    <w:rsid w:val="00662C61"/>
    <w:rsid w:val="00663BAC"/>
    <w:rsid w:val="00675DF9"/>
    <w:rsid w:val="0068672D"/>
    <w:rsid w:val="006B227C"/>
    <w:rsid w:val="006B77E7"/>
    <w:rsid w:val="006C2C2E"/>
    <w:rsid w:val="006E4854"/>
    <w:rsid w:val="006F0503"/>
    <w:rsid w:val="00703C59"/>
    <w:rsid w:val="00705335"/>
    <w:rsid w:val="007320EB"/>
    <w:rsid w:val="007413EC"/>
    <w:rsid w:val="0077460E"/>
    <w:rsid w:val="007860B1"/>
    <w:rsid w:val="007B79FD"/>
    <w:rsid w:val="007B7CEF"/>
    <w:rsid w:val="007E77FD"/>
    <w:rsid w:val="00810181"/>
    <w:rsid w:val="00814B89"/>
    <w:rsid w:val="008157E5"/>
    <w:rsid w:val="0082293B"/>
    <w:rsid w:val="008260F3"/>
    <w:rsid w:val="00827953"/>
    <w:rsid w:val="00827E90"/>
    <w:rsid w:val="00844903"/>
    <w:rsid w:val="00844FDE"/>
    <w:rsid w:val="0086260F"/>
    <w:rsid w:val="00864FDD"/>
    <w:rsid w:val="0087162C"/>
    <w:rsid w:val="00883FB7"/>
    <w:rsid w:val="00887AB7"/>
    <w:rsid w:val="00891529"/>
    <w:rsid w:val="008951CD"/>
    <w:rsid w:val="008A29FB"/>
    <w:rsid w:val="008A5747"/>
    <w:rsid w:val="008C4FBF"/>
    <w:rsid w:val="008D1F6B"/>
    <w:rsid w:val="008E6611"/>
    <w:rsid w:val="008F16A7"/>
    <w:rsid w:val="008F5C7D"/>
    <w:rsid w:val="00922379"/>
    <w:rsid w:val="00922D2F"/>
    <w:rsid w:val="009575B4"/>
    <w:rsid w:val="009B1E3E"/>
    <w:rsid w:val="009C2935"/>
    <w:rsid w:val="009E748B"/>
    <w:rsid w:val="009F4554"/>
    <w:rsid w:val="009F49EA"/>
    <w:rsid w:val="00A02082"/>
    <w:rsid w:val="00A067B2"/>
    <w:rsid w:val="00A07DC1"/>
    <w:rsid w:val="00A21437"/>
    <w:rsid w:val="00A23564"/>
    <w:rsid w:val="00A318D6"/>
    <w:rsid w:val="00A43205"/>
    <w:rsid w:val="00A51AAC"/>
    <w:rsid w:val="00A65FBB"/>
    <w:rsid w:val="00A73634"/>
    <w:rsid w:val="00AA2F5F"/>
    <w:rsid w:val="00AD1E25"/>
    <w:rsid w:val="00B1130C"/>
    <w:rsid w:val="00B14305"/>
    <w:rsid w:val="00B26546"/>
    <w:rsid w:val="00B47FDF"/>
    <w:rsid w:val="00B9079D"/>
    <w:rsid w:val="00B97DED"/>
    <w:rsid w:val="00BA5E8A"/>
    <w:rsid w:val="00BD43B1"/>
    <w:rsid w:val="00BE0A06"/>
    <w:rsid w:val="00BF61B7"/>
    <w:rsid w:val="00BF75F0"/>
    <w:rsid w:val="00C43D9E"/>
    <w:rsid w:val="00C46EAB"/>
    <w:rsid w:val="00C539DC"/>
    <w:rsid w:val="00C63BAB"/>
    <w:rsid w:val="00C849BD"/>
    <w:rsid w:val="00C874E0"/>
    <w:rsid w:val="00CC2BE4"/>
    <w:rsid w:val="00CD4EF0"/>
    <w:rsid w:val="00CF0EB6"/>
    <w:rsid w:val="00CF2334"/>
    <w:rsid w:val="00D16474"/>
    <w:rsid w:val="00D17156"/>
    <w:rsid w:val="00D240C7"/>
    <w:rsid w:val="00D24457"/>
    <w:rsid w:val="00D3595D"/>
    <w:rsid w:val="00D524E7"/>
    <w:rsid w:val="00D617F0"/>
    <w:rsid w:val="00D66EAF"/>
    <w:rsid w:val="00D7649D"/>
    <w:rsid w:val="00D85A50"/>
    <w:rsid w:val="00D87DDA"/>
    <w:rsid w:val="00D92FB0"/>
    <w:rsid w:val="00DB5726"/>
    <w:rsid w:val="00DC29AC"/>
    <w:rsid w:val="00DC30EF"/>
    <w:rsid w:val="00DD15AC"/>
    <w:rsid w:val="00DE0315"/>
    <w:rsid w:val="00DE2171"/>
    <w:rsid w:val="00E15E8A"/>
    <w:rsid w:val="00E303A2"/>
    <w:rsid w:val="00E346A3"/>
    <w:rsid w:val="00E3725F"/>
    <w:rsid w:val="00E4192D"/>
    <w:rsid w:val="00E44816"/>
    <w:rsid w:val="00E7176C"/>
    <w:rsid w:val="00E72CA3"/>
    <w:rsid w:val="00E738FF"/>
    <w:rsid w:val="00EA40E6"/>
    <w:rsid w:val="00EA6F45"/>
    <w:rsid w:val="00ED75C1"/>
    <w:rsid w:val="00EE27CC"/>
    <w:rsid w:val="00F001AC"/>
    <w:rsid w:val="00F01531"/>
    <w:rsid w:val="00F05ECC"/>
    <w:rsid w:val="00F16693"/>
    <w:rsid w:val="00F224B4"/>
    <w:rsid w:val="00F6451A"/>
    <w:rsid w:val="00F70CFF"/>
    <w:rsid w:val="00FA7AC3"/>
    <w:rsid w:val="00FC4E5B"/>
    <w:rsid w:val="00FD1009"/>
    <w:rsid w:val="00FF14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2FE6"/>
  <w15:chartTrackingRefBased/>
  <w15:docId w15:val="{3633B557-AA9C-49F5-916B-5492EA23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BodyText"/>
    <w:link w:val="Heading2Char"/>
    <w:qFormat/>
    <w:rsid w:val="00A21437"/>
    <w:pPr>
      <w:keepNext/>
      <w:spacing w:after="60" w:line="288" w:lineRule="auto"/>
      <w:outlineLvl w:val="1"/>
    </w:pPr>
    <w:rPr>
      <w:rFonts w:ascii="Arial" w:eastAsia="Times New Roman" w:hAnsi="Arial" w:cs="Times New Roman"/>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C59"/>
    <w:pPr>
      <w:ind w:left="720"/>
      <w:contextualSpacing/>
    </w:pPr>
  </w:style>
  <w:style w:type="paragraph" w:styleId="Header">
    <w:name w:val="header"/>
    <w:basedOn w:val="Normal"/>
    <w:link w:val="HeaderChar"/>
    <w:uiPriority w:val="99"/>
    <w:unhideWhenUsed/>
    <w:rsid w:val="00F64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51A"/>
  </w:style>
  <w:style w:type="paragraph" w:styleId="Footer">
    <w:name w:val="footer"/>
    <w:basedOn w:val="Normal"/>
    <w:link w:val="FooterChar"/>
    <w:uiPriority w:val="99"/>
    <w:unhideWhenUsed/>
    <w:rsid w:val="00F64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51A"/>
  </w:style>
  <w:style w:type="paragraph" w:customStyle="1" w:styleId="Default">
    <w:name w:val="Default"/>
    <w:rsid w:val="00ED75C1"/>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ED75C1"/>
    <w:pPr>
      <w:tabs>
        <w:tab w:val="left" w:pos="3495"/>
        <w:tab w:val="center" w:pos="4621"/>
      </w:tabs>
      <w:spacing w:after="120" w:line="288" w:lineRule="auto"/>
      <w:jc w:val="center"/>
    </w:pPr>
    <w:rPr>
      <w:rFonts w:ascii="Arial" w:eastAsia="Times New Roman" w:hAnsi="Arial" w:cs="Times New Roman"/>
      <w:b/>
      <w:bCs/>
      <w:caps/>
      <w:sz w:val="20"/>
      <w:szCs w:val="20"/>
      <w:lang w:eastAsia="en-GB"/>
    </w:rPr>
  </w:style>
  <w:style w:type="character" w:customStyle="1" w:styleId="TitleChar">
    <w:name w:val="Title Char"/>
    <w:basedOn w:val="DefaultParagraphFont"/>
    <w:link w:val="Title"/>
    <w:rsid w:val="00ED75C1"/>
    <w:rPr>
      <w:rFonts w:ascii="Arial" w:eastAsia="Times New Roman" w:hAnsi="Arial" w:cs="Times New Roman"/>
      <w:b/>
      <w:bCs/>
      <w:caps/>
      <w:sz w:val="20"/>
      <w:szCs w:val="20"/>
      <w:lang w:eastAsia="en-GB"/>
    </w:rPr>
  </w:style>
  <w:style w:type="paragraph" w:styleId="BodyText">
    <w:name w:val="Body Text"/>
    <w:basedOn w:val="Normal"/>
    <w:link w:val="BodyTextChar"/>
    <w:qFormat/>
    <w:rsid w:val="00ED75C1"/>
    <w:pPr>
      <w:tabs>
        <w:tab w:val="left" w:pos="851"/>
        <w:tab w:val="left" w:pos="1701"/>
        <w:tab w:val="left" w:pos="2552"/>
      </w:tabs>
      <w:spacing w:after="0" w:line="288"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D75C1"/>
    <w:rPr>
      <w:rFonts w:ascii="Arial" w:eastAsia="Times New Roman" w:hAnsi="Arial" w:cs="Times New Roman"/>
      <w:sz w:val="20"/>
      <w:szCs w:val="20"/>
    </w:rPr>
  </w:style>
  <w:style w:type="character" w:customStyle="1" w:styleId="Heading2Char">
    <w:name w:val="Heading 2 Char"/>
    <w:basedOn w:val="DefaultParagraphFont"/>
    <w:link w:val="Heading2"/>
    <w:rsid w:val="00A21437"/>
    <w:rPr>
      <w:rFonts w:ascii="Arial" w:eastAsia="Times New Roman" w:hAnsi="Arial" w:cs="Times New Roman"/>
      <w:b/>
      <w:sz w:val="19"/>
      <w:szCs w:val="19"/>
      <w:u w:val="single"/>
    </w:rPr>
  </w:style>
  <w:style w:type="paragraph" w:styleId="FootnoteText">
    <w:name w:val="footnote text"/>
    <w:basedOn w:val="Normal"/>
    <w:link w:val="FootnoteTextChar"/>
    <w:uiPriority w:val="99"/>
    <w:semiHidden/>
    <w:unhideWhenUsed/>
    <w:rsid w:val="007053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335"/>
    <w:rPr>
      <w:sz w:val="20"/>
      <w:szCs w:val="20"/>
    </w:rPr>
  </w:style>
  <w:style w:type="character" w:styleId="FootnoteReference">
    <w:name w:val="footnote reference"/>
    <w:basedOn w:val="DefaultParagraphFont"/>
    <w:uiPriority w:val="99"/>
    <w:semiHidden/>
    <w:unhideWhenUsed/>
    <w:rsid w:val="00705335"/>
    <w:rPr>
      <w:vertAlign w:val="superscript"/>
    </w:rPr>
  </w:style>
  <w:style w:type="character" w:styleId="Hyperlink">
    <w:name w:val="Hyperlink"/>
    <w:basedOn w:val="DefaultParagraphFont"/>
    <w:uiPriority w:val="99"/>
    <w:unhideWhenUsed/>
    <w:rsid w:val="00705335"/>
    <w:rPr>
      <w:color w:val="0563C1" w:themeColor="hyperlink"/>
      <w:u w:val="single"/>
    </w:rPr>
  </w:style>
  <w:style w:type="character" w:styleId="CommentReference">
    <w:name w:val="annotation reference"/>
    <w:basedOn w:val="DefaultParagraphFont"/>
    <w:uiPriority w:val="99"/>
    <w:semiHidden/>
    <w:unhideWhenUsed/>
    <w:rsid w:val="00827953"/>
    <w:rPr>
      <w:sz w:val="16"/>
      <w:szCs w:val="16"/>
    </w:rPr>
  </w:style>
  <w:style w:type="paragraph" w:styleId="CommentText">
    <w:name w:val="annotation text"/>
    <w:basedOn w:val="Normal"/>
    <w:link w:val="CommentTextChar"/>
    <w:uiPriority w:val="99"/>
    <w:semiHidden/>
    <w:unhideWhenUsed/>
    <w:rsid w:val="00827953"/>
    <w:pPr>
      <w:spacing w:line="240" w:lineRule="auto"/>
    </w:pPr>
    <w:rPr>
      <w:sz w:val="20"/>
      <w:szCs w:val="20"/>
    </w:rPr>
  </w:style>
  <w:style w:type="character" w:customStyle="1" w:styleId="CommentTextChar">
    <w:name w:val="Comment Text Char"/>
    <w:basedOn w:val="DefaultParagraphFont"/>
    <w:link w:val="CommentText"/>
    <w:uiPriority w:val="99"/>
    <w:semiHidden/>
    <w:rsid w:val="00827953"/>
    <w:rPr>
      <w:sz w:val="20"/>
      <w:szCs w:val="20"/>
    </w:rPr>
  </w:style>
  <w:style w:type="paragraph" w:styleId="CommentSubject">
    <w:name w:val="annotation subject"/>
    <w:basedOn w:val="CommentText"/>
    <w:next w:val="CommentText"/>
    <w:link w:val="CommentSubjectChar"/>
    <w:uiPriority w:val="99"/>
    <w:semiHidden/>
    <w:unhideWhenUsed/>
    <w:rsid w:val="00827953"/>
    <w:rPr>
      <w:b/>
      <w:bCs/>
    </w:rPr>
  </w:style>
  <w:style w:type="character" w:customStyle="1" w:styleId="CommentSubjectChar">
    <w:name w:val="Comment Subject Char"/>
    <w:basedOn w:val="CommentTextChar"/>
    <w:link w:val="CommentSubject"/>
    <w:uiPriority w:val="99"/>
    <w:semiHidden/>
    <w:rsid w:val="00827953"/>
    <w:rPr>
      <w:b/>
      <w:bCs/>
      <w:sz w:val="20"/>
      <w:szCs w:val="20"/>
    </w:rPr>
  </w:style>
  <w:style w:type="paragraph" w:styleId="BalloonText">
    <w:name w:val="Balloon Text"/>
    <w:basedOn w:val="Normal"/>
    <w:link w:val="BalloonTextChar"/>
    <w:uiPriority w:val="99"/>
    <w:semiHidden/>
    <w:unhideWhenUsed/>
    <w:rsid w:val="00827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953"/>
    <w:rPr>
      <w:rFonts w:ascii="Segoe UI" w:hAnsi="Segoe UI" w:cs="Segoe UI"/>
      <w:sz w:val="18"/>
      <w:szCs w:val="18"/>
    </w:rPr>
  </w:style>
  <w:style w:type="table" w:styleId="TableGrid">
    <w:name w:val="Table Grid"/>
    <w:basedOn w:val="TableNormal"/>
    <w:uiPriority w:val="39"/>
    <w:rsid w:val="009E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61B7"/>
    <w:pPr>
      <w:spacing w:after="0" w:line="240" w:lineRule="auto"/>
    </w:pPr>
  </w:style>
  <w:style w:type="character" w:styleId="Mention">
    <w:name w:val="Mention"/>
    <w:basedOn w:val="DefaultParagraphFont"/>
    <w:uiPriority w:val="99"/>
    <w:semiHidden/>
    <w:unhideWhenUsed/>
    <w:rsid w:val="00DE217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00684">
      <w:bodyDiv w:val="1"/>
      <w:marLeft w:val="0"/>
      <w:marRight w:val="0"/>
      <w:marTop w:val="0"/>
      <w:marBottom w:val="0"/>
      <w:divBdr>
        <w:top w:val="none" w:sz="0" w:space="0" w:color="auto"/>
        <w:left w:val="none" w:sz="0" w:space="0" w:color="auto"/>
        <w:bottom w:val="none" w:sz="0" w:space="0" w:color="auto"/>
        <w:right w:val="none" w:sz="0" w:space="0" w:color="auto"/>
      </w:divBdr>
    </w:div>
    <w:div w:id="1750225985">
      <w:bodyDiv w:val="1"/>
      <w:marLeft w:val="0"/>
      <w:marRight w:val="0"/>
      <w:marTop w:val="0"/>
      <w:marBottom w:val="0"/>
      <w:divBdr>
        <w:top w:val="none" w:sz="0" w:space="0" w:color="auto"/>
        <w:left w:val="none" w:sz="0" w:space="0" w:color="auto"/>
        <w:bottom w:val="none" w:sz="0" w:space="0" w:color="auto"/>
        <w:right w:val="none" w:sz="0" w:space="0" w:color="auto"/>
      </w:divBdr>
      <w:divsChild>
        <w:div w:id="259459915">
          <w:marLeft w:val="547"/>
          <w:marRight w:val="0"/>
          <w:marTop w:val="0"/>
          <w:marBottom w:val="120"/>
          <w:divBdr>
            <w:top w:val="none" w:sz="0" w:space="0" w:color="auto"/>
            <w:left w:val="none" w:sz="0" w:space="0" w:color="auto"/>
            <w:bottom w:val="none" w:sz="0" w:space="0" w:color="auto"/>
            <w:right w:val="none" w:sz="0" w:space="0" w:color="auto"/>
          </w:divBdr>
        </w:div>
        <w:div w:id="130172642">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718DF7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7D7F-C512-4BC5-94C1-26591190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Gerritsen</dc:creator>
  <cp:keywords/>
  <dc:description/>
  <cp:lastModifiedBy>Ben Gerritsen</cp:lastModifiedBy>
  <cp:revision>7</cp:revision>
  <dcterms:created xsi:type="dcterms:W3CDTF">2017-11-28T03:02:00Z</dcterms:created>
  <dcterms:modified xsi:type="dcterms:W3CDTF">2017-11-30T06:55:00Z</dcterms:modified>
</cp:coreProperties>
</file>