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4BE13" w14:textId="77777777" w:rsidR="001E33F9" w:rsidRDefault="001E33F9" w:rsidP="002F3A59">
      <w:pPr>
        <w:pStyle w:val="Heading8"/>
      </w:pPr>
      <w:bookmarkStart w:id="0" w:name="_GoBack"/>
      <w:bookmarkEnd w:id="0"/>
      <w:r w:rsidRPr="001E33F9">
        <w:t>Preliminary Assessment of Gas Transmission Access Code (GTAC)</w:t>
      </w:r>
    </w:p>
    <w:p w14:paraId="0CDCA2CA" w14:textId="77777777" w:rsidR="002F3A59" w:rsidRDefault="000B699C" w:rsidP="002F3A59">
      <w:pPr>
        <w:pStyle w:val="Heading8"/>
      </w:pPr>
      <w:r>
        <w:t>Cross-Submission Template</w:t>
      </w:r>
    </w:p>
    <w:p w14:paraId="075DE897" w14:textId="77777777" w:rsidR="002F3A59" w:rsidRDefault="002F3A59" w:rsidP="002F3A59">
      <w:pPr>
        <w:pStyle w:val="BodyText"/>
        <w:rPr>
          <w:rFonts w:cs="Tahoma"/>
          <w:b/>
        </w:rPr>
      </w:pPr>
    </w:p>
    <w:p w14:paraId="38B0AE17" w14:textId="77777777" w:rsidR="000B699C" w:rsidRDefault="000B699C" w:rsidP="002F3A59">
      <w:pPr>
        <w:pStyle w:val="BodyText"/>
        <w:rPr>
          <w:rFonts w:cs="Tahoma"/>
        </w:rPr>
      </w:pPr>
      <w:r>
        <w:rPr>
          <w:rFonts w:cs="Tahoma"/>
        </w:rPr>
        <w:t>The</w:t>
      </w:r>
      <w:r w:rsidR="008F0D49" w:rsidRPr="008F0D49">
        <w:rPr>
          <w:rFonts w:cs="Tahoma"/>
        </w:rPr>
        <w:t xml:space="preserve"> table </w:t>
      </w:r>
      <w:r>
        <w:rPr>
          <w:rFonts w:cs="Tahoma"/>
        </w:rPr>
        <w:t xml:space="preserve">below </w:t>
      </w:r>
      <w:r w:rsidR="001E33F9">
        <w:rPr>
          <w:rFonts w:cs="Tahoma"/>
        </w:rPr>
        <w:t>identif</w:t>
      </w:r>
      <w:r>
        <w:rPr>
          <w:rFonts w:cs="Tahoma"/>
        </w:rPr>
        <w:t>ies</w:t>
      </w:r>
      <w:r w:rsidR="008F0D49" w:rsidRPr="008F0D49">
        <w:rPr>
          <w:rFonts w:cs="Tahoma"/>
        </w:rPr>
        <w:t xml:space="preserve"> some matter</w:t>
      </w:r>
      <w:r w:rsidR="008F0D49">
        <w:rPr>
          <w:rFonts w:cs="Tahoma"/>
        </w:rPr>
        <w:t>s</w:t>
      </w:r>
      <w:r w:rsidR="008F0D49" w:rsidRPr="008F0D49">
        <w:rPr>
          <w:rFonts w:cs="Tahoma"/>
        </w:rPr>
        <w:t xml:space="preserve"> that have been raised in submissions</w:t>
      </w:r>
      <w:r w:rsidR="001E33F9">
        <w:rPr>
          <w:rFonts w:cs="Tahoma"/>
        </w:rPr>
        <w:t xml:space="preserve"> on Gas Industry Co’s Preliminary Assessment paper</w:t>
      </w:r>
      <w:r w:rsidR="00807F44">
        <w:rPr>
          <w:rFonts w:cs="Tahoma"/>
        </w:rPr>
        <w:t xml:space="preserve"> </w:t>
      </w:r>
      <w:r w:rsidR="008F0D49" w:rsidRPr="008F0D49">
        <w:rPr>
          <w:rFonts w:cs="Tahoma"/>
        </w:rPr>
        <w:t xml:space="preserve">on which </w:t>
      </w:r>
      <w:r w:rsidR="001E33F9">
        <w:rPr>
          <w:rFonts w:cs="Tahoma"/>
        </w:rPr>
        <w:t xml:space="preserve">we would value further information </w:t>
      </w:r>
      <w:r w:rsidR="00E7005D">
        <w:rPr>
          <w:rFonts w:cs="Tahoma"/>
        </w:rPr>
        <w:t>in</w:t>
      </w:r>
      <w:r w:rsidR="001E33F9">
        <w:rPr>
          <w:rFonts w:cs="Tahoma"/>
        </w:rPr>
        <w:t xml:space="preserve"> cross-submissions</w:t>
      </w:r>
      <w:r w:rsidR="008F0D49" w:rsidRPr="008F0D49">
        <w:rPr>
          <w:rFonts w:cs="Tahoma"/>
        </w:rPr>
        <w:t xml:space="preserve">. </w:t>
      </w:r>
      <w:r>
        <w:rPr>
          <w:rFonts w:cs="Tahoma"/>
        </w:rPr>
        <w:t xml:space="preserve">The table lists a number of supplementary questions – SQ1 etc – and invites cross-submitter views. </w:t>
      </w:r>
    </w:p>
    <w:p w14:paraId="6D137BE6" w14:textId="77777777" w:rsidR="001E33F9" w:rsidRDefault="00807F44" w:rsidP="002F3A59">
      <w:pPr>
        <w:pStyle w:val="BodyText"/>
        <w:rPr>
          <w:rFonts w:cs="Tahoma"/>
        </w:rPr>
      </w:pPr>
      <w:r>
        <w:rPr>
          <w:rFonts w:cs="Tahoma"/>
        </w:rPr>
        <w:t xml:space="preserve">The </w:t>
      </w:r>
      <w:r w:rsidR="000B699C">
        <w:rPr>
          <w:rFonts w:cs="Tahoma"/>
        </w:rPr>
        <w:t xml:space="preserve">supplementary question </w:t>
      </w:r>
      <w:r>
        <w:rPr>
          <w:rFonts w:cs="Tahoma"/>
        </w:rPr>
        <w:t>format point</w:t>
      </w:r>
      <w:r w:rsidR="00E7005D">
        <w:rPr>
          <w:rFonts w:cs="Tahoma"/>
        </w:rPr>
        <w:t>s</w:t>
      </w:r>
      <w:r>
        <w:rPr>
          <w:rFonts w:cs="Tahoma"/>
        </w:rPr>
        <w:t xml:space="preserve"> to where </w:t>
      </w:r>
      <w:r w:rsidR="001E33F9">
        <w:rPr>
          <w:rFonts w:cs="Tahoma"/>
        </w:rPr>
        <w:t>a relevant</w:t>
      </w:r>
      <w:r>
        <w:rPr>
          <w:rFonts w:cs="Tahoma"/>
        </w:rPr>
        <w:t xml:space="preserve"> quote can be found</w:t>
      </w:r>
      <w:r w:rsidR="001E33F9">
        <w:rPr>
          <w:rFonts w:cs="Tahoma"/>
        </w:rPr>
        <w:t xml:space="preserve"> (</w:t>
      </w:r>
      <w:r>
        <w:rPr>
          <w:rFonts w:cs="Tahoma"/>
        </w:rPr>
        <w:t>“eg Methanex Q3, p6” means we are quoting from page 6 of the Methanex submission</w:t>
      </w:r>
      <w:r w:rsidR="001E33F9">
        <w:rPr>
          <w:rFonts w:cs="Tahoma"/>
        </w:rPr>
        <w:t>)</w:t>
      </w:r>
      <w:r>
        <w:rPr>
          <w:rFonts w:cs="Tahoma"/>
        </w:rPr>
        <w:t xml:space="preserve"> and </w:t>
      </w:r>
      <w:r w:rsidR="00E7005D">
        <w:rPr>
          <w:rFonts w:cs="Tahoma"/>
        </w:rPr>
        <w:t>asks</w:t>
      </w:r>
      <w:r>
        <w:rPr>
          <w:rFonts w:cs="Tahoma"/>
        </w:rPr>
        <w:t xml:space="preserve"> a </w:t>
      </w:r>
      <w:r w:rsidR="000B699C">
        <w:rPr>
          <w:rFonts w:cs="Tahoma"/>
        </w:rPr>
        <w:t xml:space="preserve">pertinent </w:t>
      </w:r>
      <w:r>
        <w:rPr>
          <w:rFonts w:cs="Tahoma"/>
        </w:rPr>
        <w:t xml:space="preserve">question </w:t>
      </w:r>
      <w:r w:rsidR="001E33F9">
        <w:rPr>
          <w:rFonts w:cs="Tahoma"/>
        </w:rPr>
        <w:t>(</w:t>
      </w:r>
      <w:r>
        <w:rPr>
          <w:rFonts w:cs="Tahoma"/>
        </w:rPr>
        <w:t>eg “</w:t>
      </w:r>
      <w:r w:rsidRPr="00807F44">
        <w:rPr>
          <w:rFonts w:cs="Tahoma"/>
        </w:rPr>
        <w:t>Do you think peaky usage be discouraged, even when capacity is not scarce?</w:t>
      </w:r>
      <w:r>
        <w:rPr>
          <w:rFonts w:cs="Tahoma"/>
        </w:rPr>
        <w:t>”</w:t>
      </w:r>
      <w:r w:rsidR="001E33F9">
        <w:rPr>
          <w:rFonts w:cs="Tahoma"/>
        </w:rPr>
        <w:t>)</w:t>
      </w:r>
      <w:r>
        <w:rPr>
          <w:rFonts w:cs="Tahoma"/>
        </w:rPr>
        <w:t xml:space="preserve">. </w:t>
      </w:r>
      <w:r w:rsidR="000B699C">
        <w:rPr>
          <w:rFonts w:cs="Tahoma"/>
        </w:rPr>
        <w:t xml:space="preserve">You, as the cross-submitter, can decide whether you wish to </w:t>
      </w:r>
      <w:r w:rsidR="001E33F9">
        <w:rPr>
          <w:rFonts w:cs="Tahoma"/>
        </w:rPr>
        <w:t xml:space="preserve">comment on </w:t>
      </w:r>
      <w:r>
        <w:rPr>
          <w:rFonts w:cs="Tahoma"/>
        </w:rPr>
        <w:t>the quote</w:t>
      </w:r>
      <w:r w:rsidR="001E33F9">
        <w:rPr>
          <w:rFonts w:cs="Tahoma"/>
        </w:rPr>
        <w:t>,</w:t>
      </w:r>
      <w:r>
        <w:rPr>
          <w:rFonts w:cs="Tahoma"/>
        </w:rPr>
        <w:t xml:space="preserve"> answer </w:t>
      </w:r>
      <w:r w:rsidR="001E33F9">
        <w:rPr>
          <w:rFonts w:cs="Tahoma"/>
        </w:rPr>
        <w:t>the</w:t>
      </w:r>
      <w:r>
        <w:rPr>
          <w:rFonts w:cs="Tahoma"/>
        </w:rPr>
        <w:t xml:space="preserve"> question, or </w:t>
      </w:r>
      <w:r w:rsidR="001E33F9">
        <w:rPr>
          <w:rFonts w:cs="Tahoma"/>
        </w:rPr>
        <w:t xml:space="preserve">do </w:t>
      </w:r>
      <w:r>
        <w:rPr>
          <w:rFonts w:cs="Tahoma"/>
        </w:rPr>
        <w:t>neither.</w:t>
      </w:r>
    </w:p>
    <w:p w14:paraId="1F8514B4" w14:textId="77777777" w:rsidR="00827CAD" w:rsidRPr="008F0D49" w:rsidRDefault="00827CAD" w:rsidP="002F3A59">
      <w:pPr>
        <w:pStyle w:val="BodyText"/>
        <w:rPr>
          <w:rFonts w:cs="Tahoma"/>
        </w:rPr>
      </w:pPr>
    </w:p>
    <w:p w14:paraId="4F77F177" w14:textId="77777777" w:rsidR="002F3A59" w:rsidRPr="001F227A" w:rsidRDefault="00AB5534" w:rsidP="002F3A59">
      <w:pPr>
        <w:pStyle w:val="BodyText"/>
      </w:pPr>
      <w:r>
        <w:t>Cross-s</w:t>
      </w:r>
      <w:r w:rsidR="002F3A59">
        <w:t xml:space="preserve">ubmission prepared by: </w:t>
      </w:r>
      <w:r w:rsidR="002F3A59" w:rsidRPr="00E7005D">
        <w:rPr>
          <w:highlight w:val="yellow"/>
        </w:rPr>
        <w:fldChar w:fldCharType="begin"/>
      </w:r>
      <w:r w:rsidR="002F3A59" w:rsidRPr="00E7005D">
        <w:rPr>
          <w:highlight w:val="yellow"/>
        </w:rPr>
        <w:instrText xml:space="preserve"> MACROBUTTON  NoMacro &lt;company name and contact&gt;</w:instrText>
      </w:r>
      <w:r w:rsidR="002F3A59" w:rsidRPr="00E7005D">
        <w:rPr>
          <w:highlight w:val="yellow"/>
        </w:rPr>
        <w:fldChar w:fldCharType="end"/>
      </w:r>
    </w:p>
    <w:tbl>
      <w:tblPr>
        <w:tblStyle w:val="TableGrid"/>
        <w:tblW w:w="4866" w:type="pct"/>
        <w:tblLayout w:type="fixed"/>
        <w:tblLook w:val="01E0" w:firstRow="1" w:lastRow="1" w:firstColumn="1" w:lastColumn="1" w:noHBand="0" w:noVBand="0"/>
      </w:tblPr>
      <w:tblGrid>
        <w:gridCol w:w="988"/>
        <w:gridCol w:w="7786"/>
      </w:tblGrid>
      <w:tr w:rsidR="007639F6" w:rsidRPr="0017505B" w14:paraId="45A9E04E" w14:textId="77777777" w:rsidTr="007639F6">
        <w:trPr>
          <w:trHeight w:val="223"/>
        </w:trPr>
        <w:tc>
          <w:tcPr>
            <w:tcW w:w="5000" w:type="pct"/>
            <w:gridSpan w:val="2"/>
          </w:tcPr>
          <w:p w14:paraId="47774549" w14:textId="77777777" w:rsidR="007639F6" w:rsidRPr="000B699C" w:rsidRDefault="004F746C" w:rsidP="00E7005D">
            <w:pPr>
              <w:spacing w:before="120" w:after="120"/>
              <w:rPr>
                <w:rFonts w:cs="Tahoma"/>
                <w:b/>
              </w:rPr>
            </w:pPr>
            <w:bookmarkStart w:id="1" w:name="Questions"/>
            <w:bookmarkEnd w:id="1"/>
            <w:r w:rsidRPr="000B699C">
              <w:rPr>
                <w:rFonts w:cs="Tahoma"/>
                <w:b/>
              </w:rPr>
              <w:t xml:space="preserve">SUPPLEMENTARY </w:t>
            </w:r>
            <w:r w:rsidR="007639F6" w:rsidRPr="000B699C">
              <w:rPr>
                <w:rFonts w:cs="Tahoma"/>
                <w:b/>
              </w:rPr>
              <w:t>QUESTION</w:t>
            </w:r>
            <w:r w:rsidR="000B699C" w:rsidRPr="000B699C">
              <w:rPr>
                <w:rFonts w:cs="Tahoma"/>
                <w:b/>
              </w:rPr>
              <w:t>S</w:t>
            </w:r>
          </w:p>
        </w:tc>
      </w:tr>
      <w:tr w:rsidR="005B5500" w:rsidRPr="0017505B" w14:paraId="5C5F11C7" w14:textId="77777777" w:rsidTr="00C774D7">
        <w:trPr>
          <w:trHeight w:val="854"/>
        </w:trPr>
        <w:tc>
          <w:tcPr>
            <w:tcW w:w="563" w:type="pct"/>
            <w:shd w:val="clear" w:color="auto" w:fill="DEEAF6" w:themeFill="accent1" w:themeFillTint="33"/>
          </w:tcPr>
          <w:p w14:paraId="210EE18F" w14:textId="77777777" w:rsidR="005B5500" w:rsidRDefault="005B5500" w:rsidP="005B5500">
            <w:pPr>
              <w:spacing w:before="120" w:after="120"/>
              <w:jc w:val="right"/>
              <w:rPr>
                <w:rFonts w:cs="Tahoma"/>
                <w:lang w:val="en-AU"/>
              </w:rPr>
            </w:pPr>
            <w:r>
              <w:rPr>
                <w:rFonts w:cs="Tahoma"/>
                <w:lang w:val="en-AU"/>
              </w:rPr>
              <w:t>SQ1:</w:t>
            </w:r>
          </w:p>
        </w:tc>
        <w:tc>
          <w:tcPr>
            <w:tcW w:w="4437" w:type="pct"/>
            <w:shd w:val="clear" w:color="auto" w:fill="DEEAF6" w:themeFill="accent1" w:themeFillTint="33"/>
          </w:tcPr>
          <w:p w14:paraId="52F000E4" w14:textId="77777777" w:rsidR="005B5500" w:rsidRDefault="005B5500" w:rsidP="005B5500">
            <w:pPr>
              <w:spacing w:before="120" w:after="120"/>
              <w:rPr>
                <w:rFonts w:cs="Tahoma"/>
                <w:lang w:val="en-AU"/>
              </w:rPr>
            </w:pPr>
            <w:r>
              <w:rPr>
                <w:rFonts w:cs="Tahoma"/>
                <w:lang w:val="en-AU"/>
              </w:rPr>
              <w:t>If there are matters raised in submissions you would like to comment on, that are not addressed in the questions below, please provide your views here.</w:t>
            </w:r>
          </w:p>
        </w:tc>
      </w:tr>
      <w:tr w:rsidR="005B5500" w:rsidRPr="0017505B" w14:paraId="7DC9BE6C" w14:textId="77777777" w:rsidTr="00C774D7">
        <w:trPr>
          <w:trHeight w:val="854"/>
        </w:trPr>
        <w:tc>
          <w:tcPr>
            <w:tcW w:w="563" w:type="pct"/>
            <w:shd w:val="clear" w:color="auto" w:fill="DEEAF6" w:themeFill="accent1" w:themeFillTint="33"/>
          </w:tcPr>
          <w:p w14:paraId="4639EF29" w14:textId="77777777" w:rsidR="005B5500" w:rsidRDefault="005B5500" w:rsidP="005B5500">
            <w:pPr>
              <w:spacing w:before="120" w:after="120"/>
              <w:jc w:val="right"/>
              <w:rPr>
                <w:rFonts w:cs="Tahoma"/>
                <w:lang w:val="en-AU"/>
              </w:rPr>
            </w:pPr>
          </w:p>
        </w:tc>
        <w:tc>
          <w:tcPr>
            <w:tcW w:w="4437" w:type="pct"/>
            <w:shd w:val="clear" w:color="auto" w:fill="DEEAF6" w:themeFill="accent1" w:themeFillTint="33"/>
          </w:tcPr>
          <w:p w14:paraId="3798D901" w14:textId="77777777" w:rsidR="005B5500" w:rsidRDefault="005B5500" w:rsidP="005B5500">
            <w:pPr>
              <w:spacing w:before="120" w:after="120"/>
              <w:rPr>
                <w:rFonts w:cs="Tahoma"/>
                <w:lang w:val="en-AU"/>
              </w:rPr>
            </w:pPr>
            <w:r>
              <w:rPr>
                <w:rFonts w:cs="Tahoma"/>
                <w:lang w:val="en-AU"/>
              </w:rPr>
              <w:t>Cross-submitter’s views:</w:t>
            </w:r>
          </w:p>
        </w:tc>
      </w:tr>
      <w:tr w:rsidR="005B5500" w:rsidRPr="0017505B" w14:paraId="24F05DC2" w14:textId="77777777" w:rsidTr="00C774D7">
        <w:trPr>
          <w:trHeight w:val="854"/>
        </w:trPr>
        <w:tc>
          <w:tcPr>
            <w:tcW w:w="563" w:type="pct"/>
            <w:shd w:val="clear" w:color="auto" w:fill="DEEAF6" w:themeFill="accent1" w:themeFillTint="33"/>
          </w:tcPr>
          <w:p w14:paraId="3F9B24E1" w14:textId="77777777" w:rsidR="005B5500" w:rsidRPr="0017505B" w:rsidRDefault="005B5500" w:rsidP="005B5500">
            <w:pPr>
              <w:spacing w:before="120" w:after="120"/>
              <w:jc w:val="right"/>
              <w:rPr>
                <w:rFonts w:cs="Tahoma"/>
                <w:lang w:val="en-AU"/>
              </w:rPr>
            </w:pPr>
            <w:r>
              <w:rPr>
                <w:rFonts w:cs="Tahoma"/>
                <w:lang w:val="en-AU"/>
              </w:rPr>
              <w:t>SQ2:</w:t>
            </w:r>
          </w:p>
        </w:tc>
        <w:tc>
          <w:tcPr>
            <w:tcW w:w="4437" w:type="pct"/>
            <w:shd w:val="clear" w:color="auto" w:fill="DEEAF6" w:themeFill="accent1" w:themeFillTint="33"/>
          </w:tcPr>
          <w:p w14:paraId="3DE29817" w14:textId="77777777" w:rsidR="005B5500" w:rsidRDefault="005B5500" w:rsidP="005B5500">
            <w:pPr>
              <w:spacing w:before="120" w:after="120"/>
              <w:rPr>
                <w:rFonts w:cs="Tahoma"/>
              </w:rPr>
            </w:pPr>
            <w:r>
              <w:rPr>
                <w:rFonts w:cs="Tahoma"/>
                <w:lang w:val="en-AU"/>
              </w:rPr>
              <w:t>Methanex Q3, p6:</w:t>
            </w:r>
            <w:r>
              <w:rPr>
                <w:rFonts w:cs="Tahoma"/>
              </w:rPr>
              <w:t xml:space="preserve"> “We disagree that peaky usage should be discouraged only in connection with congestion… the unpredictability of gas throughput and limited line pack capacity… [are why] peaking limits (which apply universally) are imposed to govern behaviour on the Maui Pipeline under MPOC, even though congestion is not a factor. It is also the reason why Methanex is particularly concerned regarding the approach taken in the GTAC of making line pack freely available to users which is also applied in an inconsistent and discriminatory manner.”</w:t>
            </w:r>
          </w:p>
          <w:p w14:paraId="38F187B8" w14:textId="77777777" w:rsidR="005B5500" w:rsidRPr="005B5500" w:rsidRDefault="005B5500" w:rsidP="005B5500">
            <w:pPr>
              <w:spacing w:before="120" w:after="120"/>
              <w:rPr>
                <w:rFonts w:cs="Tahoma"/>
                <w:i/>
                <w:lang w:val="en-AU"/>
              </w:rPr>
            </w:pPr>
            <w:r w:rsidRPr="005B5500">
              <w:rPr>
                <w:rFonts w:cs="Tahoma"/>
                <w:i/>
                <w:lang w:val="en-AU"/>
              </w:rPr>
              <w:t>Do you think peaky usage should be discouraged, even when capacity is not scarce, and why?</w:t>
            </w:r>
          </w:p>
        </w:tc>
      </w:tr>
      <w:tr w:rsidR="005B5500" w:rsidRPr="0017505B" w14:paraId="5078E3DC" w14:textId="77777777" w:rsidTr="00C774D7">
        <w:trPr>
          <w:trHeight w:val="854"/>
        </w:trPr>
        <w:tc>
          <w:tcPr>
            <w:tcW w:w="563" w:type="pct"/>
          </w:tcPr>
          <w:p w14:paraId="3449B2FE" w14:textId="77777777" w:rsidR="005B5500" w:rsidRPr="0017505B" w:rsidRDefault="005B5500" w:rsidP="005B5500">
            <w:pPr>
              <w:spacing w:before="120" w:after="120"/>
              <w:jc w:val="right"/>
              <w:rPr>
                <w:rFonts w:cs="Tahoma"/>
                <w:lang w:val="en-AU"/>
              </w:rPr>
            </w:pPr>
          </w:p>
        </w:tc>
        <w:tc>
          <w:tcPr>
            <w:tcW w:w="4437" w:type="pct"/>
          </w:tcPr>
          <w:p w14:paraId="0A649A1C" w14:textId="77777777" w:rsidR="005B5500" w:rsidRDefault="005B5500" w:rsidP="005B5500">
            <w:pPr>
              <w:spacing w:before="120" w:after="120"/>
              <w:rPr>
                <w:rFonts w:cs="Tahoma"/>
                <w:lang w:val="en-AU"/>
              </w:rPr>
            </w:pPr>
            <w:r>
              <w:rPr>
                <w:rFonts w:cs="Tahoma"/>
                <w:lang w:val="en-AU"/>
              </w:rPr>
              <w:t>Cross-submitter’s view:</w:t>
            </w:r>
          </w:p>
        </w:tc>
      </w:tr>
      <w:tr w:rsidR="005B5500" w:rsidRPr="0017505B" w14:paraId="01E9485F" w14:textId="77777777" w:rsidTr="00C774D7">
        <w:trPr>
          <w:trHeight w:val="854"/>
        </w:trPr>
        <w:tc>
          <w:tcPr>
            <w:tcW w:w="563" w:type="pct"/>
            <w:shd w:val="clear" w:color="auto" w:fill="DEEAF6" w:themeFill="accent1" w:themeFillTint="33"/>
          </w:tcPr>
          <w:p w14:paraId="48CA57E5" w14:textId="77777777" w:rsidR="005B5500" w:rsidRPr="0017505B" w:rsidRDefault="005B5500" w:rsidP="005B5500">
            <w:pPr>
              <w:spacing w:before="120" w:after="120"/>
              <w:jc w:val="right"/>
              <w:rPr>
                <w:rFonts w:cs="Tahoma"/>
                <w:lang w:val="en-AU"/>
              </w:rPr>
            </w:pPr>
            <w:r>
              <w:rPr>
                <w:rFonts w:cs="Tahoma"/>
                <w:lang w:val="en-AU"/>
              </w:rPr>
              <w:t>SQ3:</w:t>
            </w:r>
          </w:p>
        </w:tc>
        <w:tc>
          <w:tcPr>
            <w:tcW w:w="4437" w:type="pct"/>
            <w:shd w:val="clear" w:color="auto" w:fill="DEEAF6" w:themeFill="accent1" w:themeFillTint="33"/>
          </w:tcPr>
          <w:p w14:paraId="159AD864" w14:textId="77777777" w:rsidR="005B5500" w:rsidRDefault="005B5500" w:rsidP="005B5500">
            <w:pPr>
              <w:spacing w:before="120" w:after="120"/>
              <w:rPr>
                <w:rFonts w:cs="Tahoma"/>
                <w:lang w:val="en-AU"/>
              </w:rPr>
            </w:pPr>
            <w:r>
              <w:rPr>
                <w:rFonts w:cs="Tahoma"/>
                <w:lang w:val="en-AU"/>
              </w:rPr>
              <w:t>Vector Q3: “The determination of whether a Delivery Point will be congested is normally made by First Gas by 30 June each year. We would be surprised if a Delivery Point will potentially or actually be congested every day of the year. We therefore question whether applying a 10 times incentive fee on days when there is a very low likelihood of congestion is efficient.”</w:t>
            </w:r>
          </w:p>
          <w:p w14:paraId="706C32E4" w14:textId="77777777" w:rsidR="005B5500" w:rsidRPr="005B5500" w:rsidRDefault="005B5500" w:rsidP="005B5500">
            <w:pPr>
              <w:spacing w:before="120" w:after="120"/>
              <w:rPr>
                <w:rFonts w:cs="Tahoma"/>
                <w:i/>
                <w:lang w:val="en-AU"/>
              </w:rPr>
            </w:pPr>
            <w:r w:rsidRPr="005B5500">
              <w:rPr>
                <w:rFonts w:cs="Tahoma"/>
                <w:i/>
                <w:lang w:val="en-AU"/>
              </w:rPr>
              <w:lastRenderedPageBreak/>
              <w:t>For what reason(s) would an F factor of 10 (GTAC s11.4) be appropriate at times when a Congested DP is not congested?</w:t>
            </w:r>
          </w:p>
        </w:tc>
      </w:tr>
      <w:tr w:rsidR="005B5500" w:rsidRPr="0017505B" w14:paraId="4EEE1D59" w14:textId="77777777" w:rsidTr="00C774D7">
        <w:trPr>
          <w:trHeight w:val="854"/>
        </w:trPr>
        <w:tc>
          <w:tcPr>
            <w:tcW w:w="563" w:type="pct"/>
          </w:tcPr>
          <w:p w14:paraId="6D8A1B95" w14:textId="77777777" w:rsidR="005B5500" w:rsidRDefault="005B5500" w:rsidP="005B5500">
            <w:pPr>
              <w:spacing w:before="120" w:after="120"/>
              <w:jc w:val="right"/>
              <w:rPr>
                <w:rFonts w:cs="Tahoma"/>
                <w:lang w:val="en-AU"/>
              </w:rPr>
            </w:pPr>
          </w:p>
        </w:tc>
        <w:tc>
          <w:tcPr>
            <w:tcW w:w="4437" w:type="pct"/>
          </w:tcPr>
          <w:p w14:paraId="66511060" w14:textId="77777777" w:rsidR="005B5500" w:rsidRDefault="005B5500" w:rsidP="005B5500">
            <w:pPr>
              <w:spacing w:before="120" w:after="120"/>
              <w:rPr>
                <w:rFonts w:cs="Tahoma"/>
              </w:rPr>
            </w:pPr>
            <w:r>
              <w:rPr>
                <w:rFonts w:cs="Tahoma"/>
                <w:lang w:val="en-AU"/>
              </w:rPr>
              <w:t>Cross-submitter’s view:</w:t>
            </w:r>
          </w:p>
        </w:tc>
      </w:tr>
      <w:tr w:rsidR="005B5500" w:rsidRPr="0017505B" w14:paraId="31A51505" w14:textId="77777777" w:rsidTr="00C774D7">
        <w:trPr>
          <w:trHeight w:val="854"/>
        </w:trPr>
        <w:tc>
          <w:tcPr>
            <w:tcW w:w="563" w:type="pct"/>
            <w:shd w:val="clear" w:color="auto" w:fill="DEEAF6" w:themeFill="accent1" w:themeFillTint="33"/>
          </w:tcPr>
          <w:p w14:paraId="1FE8BD72" w14:textId="77777777" w:rsidR="005B5500" w:rsidRDefault="005B5500" w:rsidP="005B5500">
            <w:pPr>
              <w:spacing w:before="120" w:after="120"/>
              <w:jc w:val="right"/>
              <w:rPr>
                <w:rFonts w:cs="Tahoma"/>
                <w:lang w:val="en-AU"/>
              </w:rPr>
            </w:pPr>
            <w:r>
              <w:rPr>
                <w:rFonts w:cs="Tahoma"/>
                <w:lang w:val="en-AU"/>
              </w:rPr>
              <w:t>SQ4:</w:t>
            </w:r>
          </w:p>
        </w:tc>
        <w:tc>
          <w:tcPr>
            <w:tcW w:w="4437" w:type="pct"/>
            <w:shd w:val="clear" w:color="auto" w:fill="DEEAF6" w:themeFill="accent1" w:themeFillTint="33"/>
          </w:tcPr>
          <w:p w14:paraId="3EB87749" w14:textId="77777777" w:rsidR="005B5500" w:rsidRDefault="005B5500" w:rsidP="005B5500">
            <w:pPr>
              <w:spacing w:before="120" w:after="120"/>
              <w:rPr>
                <w:rFonts w:cs="Tahoma"/>
              </w:rPr>
            </w:pPr>
            <w:r>
              <w:rPr>
                <w:rFonts w:cs="Tahoma"/>
              </w:rPr>
              <w:t>Todd Q3: “</w:t>
            </w:r>
            <w:r w:rsidRPr="0020300F">
              <w:rPr>
                <w:rFonts w:cs="Tahoma"/>
              </w:rPr>
              <w:t>Most of the ‘Benefits of diversity’ can be achieved with fewer than ten consumers of similar size. That is hardly a number that should ‘hinder competition’.</w:t>
            </w:r>
            <w:r>
              <w:rPr>
                <w:rFonts w:cs="Tahoma"/>
              </w:rPr>
              <w:t>”</w:t>
            </w:r>
          </w:p>
          <w:p w14:paraId="45C50030" w14:textId="77777777" w:rsidR="005B5500" w:rsidRPr="005B5500" w:rsidRDefault="005B5500" w:rsidP="005B5500">
            <w:pPr>
              <w:spacing w:before="120" w:after="120"/>
              <w:rPr>
                <w:rFonts w:cs="Tahoma"/>
                <w:i/>
              </w:rPr>
            </w:pPr>
            <w:r w:rsidRPr="005B5500">
              <w:rPr>
                <w:rFonts w:cs="Tahoma"/>
                <w:i/>
              </w:rPr>
              <w:t>Regarding the proposed product or pricing design, do you consider that the benefits of diversity would mostly be achieved by shippers who have 10 or more customers? If not, what level of customers would be sufficient to yield the benefits of diversity?</w:t>
            </w:r>
          </w:p>
        </w:tc>
      </w:tr>
      <w:tr w:rsidR="005B5500" w:rsidRPr="0017505B" w14:paraId="0B7BA65A" w14:textId="77777777" w:rsidTr="00C774D7">
        <w:trPr>
          <w:trHeight w:val="854"/>
        </w:trPr>
        <w:tc>
          <w:tcPr>
            <w:tcW w:w="563" w:type="pct"/>
          </w:tcPr>
          <w:p w14:paraId="252423A8" w14:textId="77777777" w:rsidR="005B5500" w:rsidRDefault="005B5500" w:rsidP="005B5500">
            <w:pPr>
              <w:spacing w:before="120" w:after="120"/>
              <w:jc w:val="right"/>
              <w:rPr>
                <w:rFonts w:cs="Tahoma"/>
                <w:lang w:val="en-AU"/>
              </w:rPr>
            </w:pPr>
          </w:p>
        </w:tc>
        <w:tc>
          <w:tcPr>
            <w:tcW w:w="4437" w:type="pct"/>
          </w:tcPr>
          <w:p w14:paraId="76789867" w14:textId="77777777" w:rsidR="005B5500" w:rsidRDefault="005B5500" w:rsidP="005B5500">
            <w:pPr>
              <w:spacing w:before="120" w:after="120"/>
              <w:rPr>
                <w:rFonts w:cs="Tahoma"/>
              </w:rPr>
            </w:pPr>
            <w:r>
              <w:rPr>
                <w:rFonts w:cs="Tahoma"/>
                <w:lang w:val="en-AU"/>
              </w:rPr>
              <w:t>Cross-submitter’s view:</w:t>
            </w:r>
          </w:p>
        </w:tc>
      </w:tr>
      <w:tr w:rsidR="005B5500" w:rsidRPr="0017505B" w14:paraId="020373B8" w14:textId="77777777" w:rsidTr="00C774D7">
        <w:trPr>
          <w:trHeight w:val="854"/>
        </w:trPr>
        <w:tc>
          <w:tcPr>
            <w:tcW w:w="563" w:type="pct"/>
            <w:shd w:val="clear" w:color="auto" w:fill="DEEAF6" w:themeFill="accent1" w:themeFillTint="33"/>
          </w:tcPr>
          <w:p w14:paraId="21A972C9" w14:textId="77777777" w:rsidR="005B5500" w:rsidRPr="0017505B" w:rsidRDefault="005B5500" w:rsidP="005B5500">
            <w:pPr>
              <w:spacing w:before="120" w:after="120"/>
              <w:jc w:val="right"/>
              <w:rPr>
                <w:rFonts w:cs="Tahoma"/>
                <w:lang w:val="en-AU"/>
              </w:rPr>
            </w:pPr>
            <w:r>
              <w:rPr>
                <w:rFonts w:cs="Tahoma"/>
                <w:lang w:val="en-AU"/>
              </w:rPr>
              <w:t>SQ5:</w:t>
            </w:r>
          </w:p>
        </w:tc>
        <w:tc>
          <w:tcPr>
            <w:tcW w:w="4437" w:type="pct"/>
            <w:shd w:val="clear" w:color="auto" w:fill="DEEAF6" w:themeFill="accent1" w:themeFillTint="33"/>
          </w:tcPr>
          <w:p w14:paraId="7CA5434F" w14:textId="77777777" w:rsidR="005B5500" w:rsidRDefault="005B5500" w:rsidP="005B5500">
            <w:pPr>
              <w:spacing w:before="120" w:after="120"/>
              <w:rPr>
                <w:rFonts w:cs="Tahoma"/>
                <w:lang w:val="en-AU"/>
              </w:rPr>
            </w:pPr>
            <w:r>
              <w:rPr>
                <w:rFonts w:cs="Tahoma"/>
                <w:lang w:val="en-AU"/>
              </w:rPr>
              <w:t>Shell Q5: “We consider that the removal of the ability to operate Displaced Gas Nominations (as defined in MPOC) has negative implications for gas trading, and this should be factored into the GIC’s assessment.”</w:t>
            </w:r>
          </w:p>
          <w:p w14:paraId="6B143A0A" w14:textId="77777777" w:rsidR="005B5500" w:rsidRPr="005B5500" w:rsidRDefault="005B5500" w:rsidP="005B5500">
            <w:pPr>
              <w:spacing w:before="120" w:after="120"/>
              <w:rPr>
                <w:rFonts w:cs="Tahoma"/>
                <w:i/>
                <w:lang w:val="en-AU"/>
              </w:rPr>
            </w:pPr>
            <w:r w:rsidRPr="005B5500">
              <w:rPr>
                <w:rFonts w:cs="Tahoma"/>
                <w:i/>
                <w:lang w:val="en-AU"/>
              </w:rPr>
              <w:t xml:space="preserve">Given the GTAC does not have point-to-point nominations, do you consider that the absence of displaced gas nominations would bring any disadvantages such as adverse effects on gas trading, and why? </w:t>
            </w:r>
          </w:p>
        </w:tc>
      </w:tr>
      <w:tr w:rsidR="005B5500" w:rsidRPr="0017505B" w14:paraId="2600D42A" w14:textId="77777777" w:rsidTr="00C774D7">
        <w:trPr>
          <w:trHeight w:val="854"/>
        </w:trPr>
        <w:tc>
          <w:tcPr>
            <w:tcW w:w="563" w:type="pct"/>
          </w:tcPr>
          <w:p w14:paraId="597B047A" w14:textId="77777777" w:rsidR="005B5500" w:rsidRPr="0017505B" w:rsidRDefault="005B5500" w:rsidP="005B5500">
            <w:pPr>
              <w:spacing w:before="120" w:after="120"/>
              <w:jc w:val="right"/>
              <w:rPr>
                <w:rFonts w:cs="Tahoma"/>
                <w:lang w:val="en-AU"/>
              </w:rPr>
            </w:pPr>
          </w:p>
        </w:tc>
        <w:tc>
          <w:tcPr>
            <w:tcW w:w="4437" w:type="pct"/>
          </w:tcPr>
          <w:p w14:paraId="5F67A3B9"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5E95A94F" w14:textId="77777777" w:rsidTr="00C774D7">
        <w:trPr>
          <w:trHeight w:val="854"/>
        </w:trPr>
        <w:tc>
          <w:tcPr>
            <w:tcW w:w="563" w:type="pct"/>
            <w:shd w:val="clear" w:color="auto" w:fill="DEEAF6" w:themeFill="accent1" w:themeFillTint="33"/>
          </w:tcPr>
          <w:p w14:paraId="08D80E93" w14:textId="77777777" w:rsidR="005B5500" w:rsidRPr="0017505B" w:rsidRDefault="005B5500" w:rsidP="005B5500">
            <w:pPr>
              <w:spacing w:before="120" w:after="120"/>
              <w:jc w:val="right"/>
              <w:rPr>
                <w:rFonts w:cs="Tahoma"/>
                <w:lang w:val="en-AU"/>
              </w:rPr>
            </w:pPr>
            <w:r>
              <w:rPr>
                <w:rFonts w:cs="Tahoma"/>
                <w:lang w:val="en-AU"/>
              </w:rPr>
              <w:t>SQ6:</w:t>
            </w:r>
          </w:p>
        </w:tc>
        <w:tc>
          <w:tcPr>
            <w:tcW w:w="4437" w:type="pct"/>
            <w:shd w:val="clear" w:color="auto" w:fill="DEEAF6" w:themeFill="accent1" w:themeFillTint="33"/>
          </w:tcPr>
          <w:p w14:paraId="63B3E389" w14:textId="77777777" w:rsidR="005B5500" w:rsidRDefault="005B5500" w:rsidP="005B5500">
            <w:pPr>
              <w:spacing w:before="120" w:after="120"/>
              <w:rPr>
                <w:rFonts w:cs="Tahoma"/>
                <w:lang w:val="en-AU"/>
              </w:rPr>
            </w:pPr>
            <w:r>
              <w:rPr>
                <w:rFonts w:cs="Tahoma"/>
                <w:lang w:val="en-AU"/>
              </w:rPr>
              <w:t>First Gas Q6: “We also agree that uncertainties raised over tolerances are balanced out by the obligation on First Gas to act impartially.”</w:t>
            </w:r>
          </w:p>
          <w:p w14:paraId="072CD936" w14:textId="77777777" w:rsidR="005B5500" w:rsidRPr="005B5500" w:rsidRDefault="005B5500" w:rsidP="005B5500">
            <w:pPr>
              <w:spacing w:before="120" w:after="120"/>
              <w:rPr>
                <w:rFonts w:cs="Tahoma"/>
                <w:i/>
                <w:lang w:val="en-AU"/>
              </w:rPr>
            </w:pPr>
            <w:r w:rsidRPr="005B5500">
              <w:rPr>
                <w:rFonts w:cs="Tahoma"/>
                <w:i/>
                <w:lang w:val="en-AU"/>
              </w:rPr>
              <w:t>Do you think that the GTAC s2.6 obligation on First Gas to deal with Shippers impartially mitigates concerns around how tolerances would be set under s8.5(b)?</w:t>
            </w:r>
          </w:p>
        </w:tc>
      </w:tr>
      <w:tr w:rsidR="005B5500" w:rsidRPr="0017505B" w14:paraId="3D9EA502" w14:textId="77777777" w:rsidTr="00C774D7">
        <w:trPr>
          <w:trHeight w:val="854"/>
        </w:trPr>
        <w:tc>
          <w:tcPr>
            <w:tcW w:w="563" w:type="pct"/>
          </w:tcPr>
          <w:p w14:paraId="2E8D1A7C" w14:textId="77777777" w:rsidR="005B5500" w:rsidRPr="0017505B" w:rsidRDefault="005B5500" w:rsidP="005B5500">
            <w:pPr>
              <w:spacing w:before="120" w:after="120"/>
              <w:jc w:val="right"/>
              <w:rPr>
                <w:rFonts w:cs="Tahoma"/>
                <w:lang w:val="en-AU"/>
              </w:rPr>
            </w:pPr>
          </w:p>
        </w:tc>
        <w:tc>
          <w:tcPr>
            <w:tcW w:w="4437" w:type="pct"/>
          </w:tcPr>
          <w:p w14:paraId="763DD844"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40721D1F" w14:textId="77777777" w:rsidTr="00C774D7">
        <w:trPr>
          <w:trHeight w:val="854"/>
        </w:trPr>
        <w:tc>
          <w:tcPr>
            <w:tcW w:w="563" w:type="pct"/>
            <w:shd w:val="clear" w:color="auto" w:fill="DEEAF6" w:themeFill="accent1" w:themeFillTint="33"/>
          </w:tcPr>
          <w:p w14:paraId="0A2D24C2" w14:textId="77777777" w:rsidR="005B5500" w:rsidRPr="0017505B" w:rsidRDefault="005B5500" w:rsidP="005B5500">
            <w:pPr>
              <w:spacing w:before="120" w:after="120"/>
              <w:jc w:val="right"/>
              <w:rPr>
                <w:rFonts w:cs="Tahoma"/>
                <w:lang w:val="en-AU"/>
              </w:rPr>
            </w:pPr>
            <w:r>
              <w:rPr>
                <w:rFonts w:cs="Tahoma"/>
                <w:lang w:val="en-AU"/>
              </w:rPr>
              <w:t>SQ7:</w:t>
            </w:r>
          </w:p>
        </w:tc>
        <w:tc>
          <w:tcPr>
            <w:tcW w:w="4437" w:type="pct"/>
            <w:shd w:val="clear" w:color="auto" w:fill="DEEAF6" w:themeFill="accent1" w:themeFillTint="33"/>
          </w:tcPr>
          <w:p w14:paraId="00E7D097" w14:textId="77777777" w:rsidR="005B5500" w:rsidRDefault="005B5500" w:rsidP="005B5500">
            <w:pPr>
              <w:spacing w:before="120" w:after="120"/>
              <w:rPr>
                <w:rFonts w:cs="Tahoma"/>
                <w:lang w:val="en-AU"/>
              </w:rPr>
            </w:pPr>
            <w:r>
              <w:rPr>
                <w:rFonts w:cs="Tahoma"/>
                <w:lang w:val="en-AU"/>
              </w:rPr>
              <w:t>Methanex Q6: “</w:t>
            </w:r>
            <w:r w:rsidRPr="009D5062">
              <w:rPr>
                <w:rFonts w:cs="Tahoma"/>
                <w:lang w:val="en-AU"/>
              </w:rPr>
              <w:t xml:space="preserve">In general terms, we don’t believe that GIC has sufficiently assessed changes made in </w:t>
            </w:r>
            <w:r>
              <w:rPr>
                <w:rFonts w:cs="Tahoma"/>
                <w:lang w:val="en-AU"/>
              </w:rPr>
              <w:t xml:space="preserve">the </w:t>
            </w:r>
            <w:r w:rsidRPr="009D5062">
              <w:rPr>
                <w:rFonts w:cs="Tahoma"/>
                <w:lang w:val="en-AU"/>
              </w:rPr>
              <w:t>GTAC regarding physical balancing arrangements, particularly in regard to the implications of FGL relaxing its obligations in regard to managing pipeline pressure and line pack (section 8.5/8.6 in particular), and its diminished responsibilities to pro-actively undertake balancing actions when the pipeline approaches the acceptable limits (including through operation of Section 8.6)</w:t>
            </w:r>
            <w:r>
              <w:rPr>
                <w:rFonts w:cs="Tahoma"/>
                <w:lang w:val="en-AU"/>
              </w:rPr>
              <w:t>.”</w:t>
            </w:r>
          </w:p>
          <w:p w14:paraId="5839E77A" w14:textId="77777777" w:rsidR="005B5500" w:rsidRPr="005B5500" w:rsidRDefault="005B5500" w:rsidP="005B5500">
            <w:pPr>
              <w:spacing w:before="120" w:after="120"/>
              <w:rPr>
                <w:rFonts w:cs="Tahoma"/>
                <w:i/>
                <w:lang w:val="en-AU"/>
              </w:rPr>
            </w:pPr>
            <w:r w:rsidRPr="005B5500">
              <w:rPr>
                <w:rFonts w:cs="Tahoma"/>
                <w:i/>
                <w:lang w:val="en-AU"/>
              </w:rPr>
              <w:t>Do you consider that the GTAC would relax the obligations on First Gas to manage pipeline pressure and, if so, is that detrimental?</w:t>
            </w:r>
          </w:p>
        </w:tc>
      </w:tr>
      <w:tr w:rsidR="005B5500" w:rsidRPr="0017505B" w14:paraId="1E0E89F0" w14:textId="77777777" w:rsidTr="00C774D7">
        <w:trPr>
          <w:trHeight w:val="854"/>
        </w:trPr>
        <w:tc>
          <w:tcPr>
            <w:tcW w:w="563" w:type="pct"/>
          </w:tcPr>
          <w:p w14:paraId="74D3FF7B" w14:textId="77777777" w:rsidR="005B5500" w:rsidRPr="0017505B" w:rsidRDefault="005B5500" w:rsidP="005B5500">
            <w:pPr>
              <w:spacing w:before="120" w:after="120"/>
              <w:jc w:val="right"/>
              <w:rPr>
                <w:rFonts w:cs="Tahoma"/>
                <w:lang w:val="en-AU"/>
              </w:rPr>
            </w:pPr>
          </w:p>
        </w:tc>
        <w:tc>
          <w:tcPr>
            <w:tcW w:w="4437" w:type="pct"/>
          </w:tcPr>
          <w:p w14:paraId="03FD0DFE"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04ED7865" w14:textId="77777777" w:rsidTr="00C774D7">
        <w:trPr>
          <w:trHeight w:val="854"/>
        </w:trPr>
        <w:tc>
          <w:tcPr>
            <w:tcW w:w="563" w:type="pct"/>
            <w:shd w:val="clear" w:color="auto" w:fill="DEEAF6" w:themeFill="accent1" w:themeFillTint="33"/>
          </w:tcPr>
          <w:p w14:paraId="2ECE8CA9" w14:textId="77777777" w:rsidR="005B5500" w:rsidRPr="0017505B" w:rsidRDefault="005B5500" w:rsidP="005B5500">
            <w:pPr>
              <w:spacing w:before="120" w:after="120"/>
              <w:jc w:val="right"/>
              <w:rPr>
                <w:rFonts w:cs="Tahoma"/>
                <w:lang w:val="en-AU"/>
              </w:rPr>
            </w:pPr>
            <w:r>
              <w:rPr>
                <w:rFonts w:cs="Tahoma"/>
                <w:lang w:val="en-AU"/>
              </w:rPr>
              <w:lastRenderedPageBreak/>
              <w:t>SQ8:</w:t>
            </w:r>
          </w:p>
        </w:tc>
        <w:tc>
          <w:tcPr>
            <w:tcW w:w="4437" w:type="pct"/>
            <w:shd w:val="clear" w:color="auto" w:fill="DEEAF6" w:themeFill="accent1" w:themeFillTint="33"/>
          </w:tcPr>
          <w:p w14:paraId="44F70C61" w14:textId="77777777" w:rsidR="005B5500" w:rsidRDefault="005B5500" w:rsidP="005B5500">
            <w:pPr>
              <w:spacing w:before="120" w:after="120"/>
              <w:rPr>
                <w:rFonts w:cs="Tahoma"/>
                <w:lang w:val="en-AU"/>
              </w:rPr>
            </w:pPr>
            <w:r>
              <w:rPr>
                <w:rFonts w:cs="Tahoma"/>
                <w:lang w:val="en-AU"/>
              </w:rPr>
              <w:t>Shell Q6: “</w:t>
            </w:r>
            <w:r w:rsidRPr="00710B68">
              <w:rPr>
                <w:rFonts w:cs="Tahoma"/>
                <w:lang w:val="en-AU"/>
              </w:rPr>
              <w:t>The burden of proof should not be on submitters to prove that the ERM mechanism is worse, it should be on the GTAC proposer to demonstrate that it is better than the current system of daily balancing, and in accord with good gas practice that has been proven elsewhere</w:t>
            </w:r>
            <w:r>
              <w:rPr>
                <w:rFonts w:cs="Tahoma"/>
                <w:lang w:val="en-AU"/>
              </w:rPr>
              <w:t>.”</w:t>
            </w:r>
          </w:p>
          <w:p w14:paraId="54A2CF09" w14:textId="77777777" w:rsidR="005B5500" w:rsidRPr="005B5500" w:rsidRDefault="005B5500" w:rsidP="005B5500">
            <w:pPr>
              <w:spacing w:before="120" w:after="120"/>
              <w:rPr>
                <w:rFonts w:cs="Tahoma"/>
                <w:i/>
                <w:lang w:val="en-AU"/>
              </w:rPr>
            </w:pPr>
            <w:r w:rsidRPr="005B5500">
              <w:rPr>
                <w:rFonts w:cs="Tahoma"/>
                <w:i/>
                <w:lang w:val="en-AU"/>
              </w:rPr>
              <w:t>Overall, do you consider that the ERM mechanism, coupled with back-to-back balancing, is likely to improve on, or be worse than, the current balancing arrangements (MBB, coupled with the Balancing and Peaking Pools)?</w:t>
            </w:r>
          </w:p>
        </w:tc>
      </w:tr>
      <w:tr w:rsidR="005B5500" w:rsidRPr="0017505B" w14:paraId="04668BA0" w14:textId="77777777" w:rsidTr="00C774D7">
        <w:trPr>
          <w:trHeight w:val="854"/>
        </w:trPr>
        <w:tc>
          <w:tcPr>
            <w:tcW w:w="563" w:type="pct"/>
          </w:tcPr>
          <w:p w14:paraId="2530724A" w14:textId="77777777" w:rsidR="005B5500" w:rsidRPr="0017505B" w:rsidRDefault="005B5500" w:rsidP="005B5500">
            <w:pPr>
              <w:spacing w:before="120" w:after="120"/>
              <w:jc w:val="right"/>
              <w:rPr>
                <w:rFonts w:cs="Tahoma"/>
                <w:lang w:val="en-AU"/>
              </w:rPr>
            </w:pPr>
          </w:p>
        </w:tc>
        <w:tc>
          <w:tcPr>
            <w:tcW w:w="4437" w:type="pct"/>
          </w:tcPr>
          <w:p w14:paraId="4E9D522E"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18E2C2AF" w14:textId="77777777" w:rsidTr="00C774D7">
        <w:trPr>
          <w:trHeight w:val="854"/>
        </w:trPr>
        <w:tc>
          <w:tcPr>
            <w:tcW w:w="563" w:type="pct"/>
            <w:shd w:val="clear" w:color="auto" w:fill="DEEAF6" w:themeFill="accent1" w:themeFillTint="33"/>
          </w:tcPr>
          <w:p w14:paraId="6D073597" w14:textId="77777777" w:rsidR="005B5500" w:rsidRPr="0017505B" w:rsidRDefault="005B5500" w:rsidP="005B5500">
            <w:pPr>
              <w:spacing w:before="120" w:after="120"/>
              <w:jc w:val="right"/>
              <w:rPr>
                <w:rFonts w:cs="Tahoma"/>
                <w:lang w:val="en-AU"/>
              </w:rPr>
            </w:pPr>
            <w:r>
              <w:rPr>
                <w:rFonts w:cs="Tahoma"/>
                <w:lang w:val="en-AU"/>
              </w:rPr>
              <w:t>SQ9:</w:t>
            </w:r>
          </w:p>
        </w:tc>
        <w:tc>
          <w:tcPr>
            <w:tcW w:w="4437" w:type="pct"/>
            <w:shd w:val="clear" w:color="auto" w:fill="DEEAF6" w:themeFill="accent1" w:themeFillTint="33"/>
          </w:tcPr>
          <w:p w14:paraId="489FD219" w14:textId="77777777" w:rsidR="005B5500" w:rsidRDefault="005B5500" w:rsidP="005B5500">
            <w:pPr>
              <w:spacing w:before="120" w:after="120"/>
              <w:rPr>
                <w:rFonts w:cs="Tahoma"/>
                <w:lang w:val="en-AU"/>
              </w:rPr>
            </w:pPr>
            <w:r>
              <w:rPr>
                <w:rFonts w:cs="Tahoma"/>
                <w:lang w:val="en-AU"/>
              </w:rPr>
              <w:t>Trustpower Q6, 8.11.3: “…</w:t>
            </w:r>
            <w:r w:rsidRPr="00587A71">
              <w:rPr>
                <w:rFonts w:cs="Tahoma"/>
                <w:lang w:val="en-AU"/>
              </w:rPr>
              <w:t xml:space="preserve"> the proposal will provide sustained upward pressure onto market prices by incentivising market offers to be $0.60/GJ ABOVE the last trade, while bids will only be $0.20/GJ BELOW the last trade.</w:t>
            </w:r>
            <w:r>
              <w:rPr>
                <w:rFonts w:cs="Tahoma"/>
                <w:lang w:val="en-AU"/>
              </w:rPr>
              <w:t>”</w:t>
            </w:r>
          </w:p>
          <w:p w14:paraId="364BE6D1" w14:textId="77777777" w:rsidR="005B5500" w:rsidRPr="005B5500" w:rsidRDefault="005B5500" w:rsidP="005B5500">
            <w:pPr>
              <w:spacing w:before="120" w:after="120"/>
              <w:rPr>
                <w:rFonts w:cs="Tahoma"/>
                <w:i/>
                <w:lang w:val="en-AU"/>
              </w:rPr>
            </w:pPr>
            <w:r w:rsidRPr="005B5500">
              <w:rPr>
                <w:rFonts w:cs="Tahoma"/>
                <w:i/>
                <w:lang w:val="en-AU"/>
              </w:rPr>
              <w:t>Do you consider that the ERM fees will distort the market price of gas compared with the status quo?</w:t>
            </w:r>
          </w:p>
        </w:tc>
      </w:tr>
      <w:tr w:rsidR="005B5500" w:rsidRPr="0017505B" w14:paraId="48C1448F" w14:textId="77777777" w:rsidTr="00C774D7">
        <w:trPr>
          <w:trHeight w:val="854"/>
        </w:trPr>
        <w:tc>
          <w:tcPr>
            <w:tcW w:w="563" w:type="pct"/>
            <w:shd w:val="clear" w:color="auto" w:fill="auto"/>
          </w:tcPr>
          <w:p w14:paraId="4E53767C" w14:textId="77777777" w:rsidR="005B5500" w:rsidRPr="0017505B" w:rsidRDefault="005B5500" w:rsidP="005B5500">
            <w:pPr>
              <w:spacing w:before="120" w:after="120"/>
              <w:jc w:val="right"/>
              <w:rPr>
                <w:rFonts w:cs="Tahoma"/>
                <w:lang w:val="en-AU"/>
              </w:rPr>
            </w:pPr>
          </w:p>
        </w:tc>
        <w:tc>
          <w:tcPr>
            <w:tcW w:w="4437" w:type="pct"/>
            <w:shd w:val="clear" w:color="auto" w:fill="auto"/>
          </w:tcPr>
          <w:p w14:paraId="72F554C0"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0972988A" w14:textId="77777777" w:rsidTr="00C774D7">
        <w:trPr>
          <w:trHeight w:val="854"/>
        </w:trPr>
        <w:tc>
          <w:tcPr>
            <w:tcW w:w="563" w:type="pct"/>
            <w:shd w:val="clear" w:color="auto" w:fill="DEEAF6" w:themeFill="accent1" w:themeFillTint="33"/>
          </w:tcPr>
          <w:p w14:paraId="396FF0B3" w14:textId="77777777" w:rsidR="005B5500" w:rsidRPr="0017505B" w:rsidRDefault="005B5500" w:rsidP="005B5500">
            <w:pPr>
              <w:spacing w:before="120" w:after="120"/>
              <w:jc w:val="right"/>
              <w:rPr>
                <w:rFonts w:cs="Tahoma"/>
                <w:lang w:val="en-AU"/>
              </w:rPr>
            </w:pPr>
            <w:r>
              <w:rPr>
                <w:rFonts w:cs="Tahoma"/>
                <w:lang w:val="en-AU"/>
              </w:rPr>
              <w:t>SQ10:</w:t>
            </w:r>
          </w:p>
        </w:tc>
        <w:tc>
          <w:tcPr>
            <w:tcW w:w="4437" w:type="pct"/>
            <w:shd w:val="clear" w:color="auto" w:fill="DEEAF6" w:themeFill="accent1" w:themeFillTint="33"/>
          </w:tcPr>
          <w:p w14:paraId="1671D933" w14:textId="77777777" w:rsidR="005B5500" w:rsidRDefault="005B5500" w:rsidP="005B5500">
            <w:pPr>
              <w:spacing w:before="120" w:after="120"/>
              <w:rPr>
                <w:rFonts w:cs="Tahoma"/>
                <w:lang w:val="en-AU"/>
              </w:rPr>
            </w:pPr>
            <w:r>
              <w:rPr>
                <w:rFonts w:cs="Tahoma"/>
                <w:lang w:val="en-AU"/>
              </w:rPr>
              <w:t>First Gas Q7: “</w:t>
            </w:r>
            <w:r w:rsidRPr="00587A71">
              <w:rPr>
                <w:rFonts w:cs="Tahoma"/>
                <w:lang w:val="en-AU"/>
              </w:rPr>
              <w:t>We agree that the single balancing regime across the system will have significant benefits in terms of efficiency.  We also agree that uncertainties raised over tolerances are balanced out by the obligation on First Gas to act impartia</w:t>
            </w:r>
            <w:r>
              <w:rPr>
                <w:rFonts w:cs="Tahoma"/>
                <w:lang w:val="en-AU"/>
              </w:rPr>
              <w:t>lly.”</w:t>
            </w:r>
          </w:p>
          <w:p w14:paraId="28A628A9" w14:textId="77777777" w:rsidR="005B5500" w:rsidRPr="005B5500" w:rsidRDefault="005B5500" w:rsidP="005B5500">
            <w:pPr>
              <w:spacing w:before="120" w:after="120"/>
              <w:rPr>
                <w:rFonts w:cs="Tahoma"/>
                <w:i/>
                <w:lang w:val="en-AU"/>
              </w:rPr>
            </w:pPr>
            <w:r w:rsidRPr="005B5500">
              <w:rPr>
                <w:rFonts w:cs="Tahoma"/>
                <w:i/>
                <w:lang w:val="en-AU"/>
              </w:rPr>
              <w:t>Do you consider that the requirements for First Gas to be impartial (eg GTAC s2.6 and 2.7) should dispel concerns about the uncertainties of how ERM tolerances will be allocated?</w:t>
            </w:r>
          </w:p>
        </w:tc>
      </w:tr>
      <w:tr w:rsidR="005B5500" w:rsidRPr="0017505B" w14:paraId="6449A81C" w14:textId="77777777" w:rsidTr="00C774D7">
        <w:trPr>
          <w:trHeight w:val="854"/>
        </w:trPr>
        <w:tc>
          <w:tcPr>
            <w:tcW w:w="563" w:type="pct"/>
          </w:tcPr>
          <w:p w14:paraId="0C52A201" w14:textId="77777777" w:rsidR="005B5500" w:rsidRDefault="005B5500" w:rsidP="005B5500">
            <w:pPr>
              <w:spacing w:before="120" w:after="120"/>
              <w:jc w:val="right"/>
              <w:rPr>
                <w:rFonts w:cs="Tahoma"/>
                <w:lang w:val="en-AU"/>
              </w:rPr>
            </w:pPr>
          </w:p>
        </w:tc>
        <w:tc>
          <w:tcPr>
            <w:tcW w:w="4437" w:type="pct"/>
          </w:tcPr>
          <w:p w14:paraId="591DB8DC"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6942DC59" w14:textId="77777777" w:rsidTr="00C774D7">
        <w:trPr>
          <w:trHeight w:val="558"/>
        </w:trPr>
        <w:tc>
          <w:tcPr>
            <w:tcW w:w="563" w:type="pct"/>
            <w:shd w:val="clear" w:color="auto" w:fill="DEEAF6" w:themeFill="accent1" w:themeFillTint="33"/>
          </w:tcPr>
          <w:p w14:paraId="78C3325B" w14:textId="77777777" w:rsidR="005B5500" w:rsidRDefault="005B5500" w:rsidP="005B5500">
            <w:pPr>
              <w:spacing w:before="120" w:after="120"/>
              <w:jc w:val="right"/>
              <w:rPr>
                <w:rFonts w:cs="Tahoma"/>
                <w:lang w:val="en-AU"/>
              </w:rPr>
            </w:pPr>
            <w:r>
              <w:rPr>
                <w:rFonts w:cs="Tahoma"/>
                <w:lang w:val="en-AU"/>
              </w:rPr>
              <w:t>SQ11:</w:t>
            </w:r>
          </w:p>
        </w:tc>
        <w:tc>
          <w:tcPr>
            <w:tcW w:w="4437" w:type="pct"/>
            <w:shd w:val="clear" w:color="auto" w:fill="DEEAF6" w:themeFill="accent1" w:themeFillTint="33"/>
          </w:tcPr>
          <w:p w14:paraId="736FB462" w14:textId="77777777" w:rsidR="005B5500" w:rsidRDefault="005B5500" w:rsidP="005B5500">
            <w:pPr>
              <w:spacing w:before="120" w:after="120"/>
              <w:rPr>
                <w:rFonts w:cs="Tahoma"/>
                <w:lang w:val="en-AU"/>
              </w:rPr>
            </w:pPr>
            <w:r>
              <w:rPr>
                <w:rFonts w:cs="Tahoma"/>
                <w:lang w:val="en-AU"/>
              </w:rPr>
              <w:t>Greymouth Q14, item 2: “</w:t>
            </w:r>
            <w:r w:rsidRPr="003F6868">
              <w:rPr>
                <w:rFonts w:cs="Tahoma"/>
                <w:lang w:val="en-AU"/>
              </w:rPr>
              <w:t>We consider that a change in transmission products and access terms should require a reassessment of the basis and terms on which non-standard pricing terms are offered to end-users – policies that may have been appropriate under current codes may no longer be fit for purpose under the new arrangements.</w:t>
            </w:r>
            <w:r>
              <w:rPr>
                <w:rFonts w:cs="Tahoma"/>
                <w:lang w:val="en-AU"/>
              </w:rPr>
              <w:t>”</w:t>
            </w:r>
          </w:p>
          <w:p w14:paraId="73D5B9B9" w14:textId="362F46E6" w:rsidR="005B5500" w:rsidRPr="005B5500" w:rsidRDefault="005B5500" w:rsidP="00890C0C">
            <w:pPr>
              <w:spacing w:before="120" w:after="120"/>
              <w:rPr>
                <w:rFonts w:cs="Tahoma"/>
                <w:i/>
                <w:lang w:val="en-AU"/>
              </w:rPr>
            </w:pPr>
            <w:r w:rsidRPr="005B5500">
              <w:rPr>
                <w:rFonts w:cs="Tahoma"/>
                <w:i/>
              </w:rPr>
              <w:t xml:space="preserve">Do you </w:t>
            </w:r>
            <w:r w:rsidR="00890C0C">
              <w:rPr>
                <w:rFonts w:cs="Tahoma"/>
                <w:i/>
              </w:rPr>
              <w:t>agree with Greymouth, that the Supplementary Agreements should be reassessed in light of any change from the current access arrangements to new access arrangements?</w:t>
            </w:r>
            <w:r w:rsidRPr="005B5500">
              <w:rPr>
                <w:rFonts w:cs="Tahoma"/>
                <w:i/>
              </w:rPr>
              <w:t xml:space="preserve"> </w:t>
            </w:r>
          </w:p>
        </w:tc>
      </w:tr>
      <w:tr w:rsidR="005B5500" w:rsidRPr="0017505B" w14:paraId="5CFE3E90" w14:textId="77777777" w:rsidTr="00C774D7">
        <w:trPr>
          <w:trHeight w:val="854"/>
        </w:trPr>
        <w:tc>
          <w:tcPr>
            <w:tcW w:w="563" w:type="pct"/>
          </w:tcPr>
          <w:p w14:paraId="450C4322" w14:textId="77777777" w:rsidR="005B5500" w:rsidRDefault="005B5500" w:rsidP="005B5500">
            <w:pPr>
              <w:spacing w:before="120" w:after="120"/>
              <w:jc w:val="right"/>
              <w:rPr>
                <w:rFonts w:cs="Tahoma"/>
                <w:lang w:val="en-AU"/>
              </w:rPr>
            </w:pPr>
          </w:p>
        </w:tc>
        <w:tc>
          <w:tcPr>
            <w:tcW w:w="4437" w:type="pct"/>
          </w:tcPr>
          <w:p w14:paraId="02785269" w14:textId="2D9CD1AD" w:rsidR="005B5500" w:rsidRPr="0017505B" w:rsidRDefault="005B5500" w:rsidP="005B5500">
            <w:pPr>
              <w:spacing w:before="120" w:after="120"/>
              <w:rPr>
                <w:rFonts w:cs="Tahoma"/>
                <w:lang w:val="en-AU"/>
              </w:rPr>
            </w:pPr>
          </w:p>
        </w:tc>
      </w:tr>
      <w:tr w:rsidR="00890C0C" w:rsidRPr="0017505B" w14:paraId="5DF09EBB" w14:textId="77777777" w:rsidTr="00C6661D">
        <w:trPr>
          <w:trHeight w:val="854"/>
        </w:trPr>
        <w:tc>
          <w:tcPr>
            <w:tcW w:w="563" w:type="pct"/>
            <w:shd w:val="clear" w:color="auto" w:fill="DEEAF6" w:themeFill="accent1" w:themeFillTint="33"/>
          </w:tcPr>
          <w:p w14:paraId="1485AF61" w14:textId="1D58C1B6" w:rsidR="00890C0C" w:rsidRDefault="00890C0C" w:rsidP="005B5500">
            <w:pPr>
              <w:spacing w:before="120" w:after="120"/>
              <w:jc w:val="right"/>
              <w:rPr>
                <w:rFonts w:cs="Tahoma"/>
                <w:lang w:val="en-AU"/>
              </w:rPr>
            </w:pPr>
            <w:r>
              <w:rPr>
                <w:rFonts w:cs="Tahoma"/>
                <w:lang w:val="en-AU"/>
              </w:rPr>
              <w:t>SQ12</w:t>
            </w:r>
          </w:p>
        </w:tc>
        <w:tc>
          <w:tcPr>
            <w:tcW w:w="4437" w:type="pct"/>
            <w:shd w:val="clear" w:color="auto" w:fill="DEEAF6" w:themeFill="accent1" w:themeFillTint="33"/>
          </w:tcPr>
          <w:p w14:paraId="76E76C63" w14:textId="77777777" w:rsidR="00890C0C" w:rsidRDefault="00890C0C" w:rsidP="00890C0C">
            <w:pPr>
              <w:spacing w:before="120" w:after="120"/>
              <w:rPr>
                <w:rFonts w:cs="Tahoma"/>
                <w:lang w:val="en-AU"/>
              </w:rPr>
            </w:pPr>
            <w:r w:rsidRPr="008A60FB">
              <w:rPr>
                <w:rFonts w:cs="Tahoma"/>
                <w:lang w:val="en-AU"/>
              </w:rPr>
              <w:t>Methanex</w:t>
            </w:r>
            <w:r>
              <w:rPr>
                <w:rFonts w:cs="Tahoma"/>
                <w:lang w:val="en-AU"/>
              </w:rPr>
              <w:t xml:space="preserve"> </w:t>
            </w:r>
            <w:r w:rsidRPr="008A60FB">
              <w:rPr>
                <w:rFonts w:cs="Tahoma"/>
                <w:lang w:val="en-AU"/>
              </w:rPr>
              <w:t>Q14</w:t>
            </w:r>
            <w:r>
              <w:rPr>
                <w:rFonts w:cs="Tahoma"/>
                <w:lang w:val="en-AU"/>
              </w:rPr>
              <w:t>,</w:t>
            </w:r>
            <w:r w:rsidRPr="008A60FB">
              <w:rPr>
                <w:rFonts w:cs="Tahoma"/>
                <w:lang w:val="en-AU"/>
              </w:rPr>
              <w:t xml:space="preserve"> p3: </w:t>
            </w:r>
            <w:r>
              <w:rPr>
                <w:rFonts w:cs="Tahoma"/>
                <w:lang w:val="en-AU"/>
              </w:rPr>
              <w:t>“</w:t>
            </w:r>
            <w:r w:rsidRPr="008A60FB">
              <w:rPr>
                <w:rFonts w:cs="Tahoma"/>
                <w:lang w:val="en-AU"/>
              </w:rPr>
              <w:t xml:space="preserve">Lack of transparency due to the non-disclosure of those agreements </w:t>
            </w:r>
            <w:r>
              <w:rPr>
                <w:rFonts w:cs="Tahoma"/>
                <w:lang w:val="en-AU"/>
              </w:rPr>
              <w:t xml:space="preserve">[SAs] </w:t>
            </w:r>
            <w:r w:rsidRPr="008A60FB">
              <w:rPr>
                <w:rFonts w:cs="Tahoma"/>
                <w:lang w:val="en-AU"/>
              </w:rPr>
              <w:t>has made it impossible to determine the level of impact they have on the rights of MPOC users</w:t>
            </w:r>
            <w:r>
              <w:rPr>
                <w:rFonts w:cs="Tahoma"/>
                <w:lang w:val="en-AU"/>
              </w:rPr>
              <w:t xml:space="preserve"> </w:t>
            </w:r>
            <w:r w:rsidRPr="008A60FB">
              <w:rPr>
                <w:rFonts w:cs="Tahoma"/>
                <w:lang w:val="en-AU"/>
              </w:rPr>
              <w:t>during the GTAC consultation process. The lack of transparency is then carried forward under GTAC, as those agreements are not subject to any disclosure requirements under GTAC. GIC comments that GTAC is an improvement over existing codes by reducing information asymmetries and in so doing reducing barriers to competition. We contend that in this respect there is a substantial reduction in the level of transparency that is currently enjoyed by MPOC users.</w:t>
            </w:r>
            <w:r>
              <w:rPr>
                <w:rFonts w:cs="Tahoma"/>
                <w:lang w:val="en-AU"/>
              </w:rPr>
              <w:t>”</w:t>
            </w:r>
          </w:p>
          <w:p w14:paraId="67A5C7D8" w14:textId="27360728" w:rsidR="00890C0C" w:rsidRDefault="00890C0C" w:rsidP="00890C0C">
            <w:pPr>
              <w:spacing w:before="120" w:after="120"/>
              <w:rPr>
                <w:rFonts w:cs="Tahoma"/>
                <w:lang w:val="en-AU"/>
              </w:rPr>
            </w:pPr>
            <w:r w:rsidRPr="005B5500">
              <w:rPr>
                <w:rFonts w:cs="Tahoma"/>
                <w:i/>
              </w:rPr>
              <w:t xml:space="preserve">Do you consider that the confidential nature of non-standard pricing and other terms of existing SAs would raise more concerns under the GTAC regime than under the current access arrangements? </w:t>
            </w:r>
          </w:p>
        </w:tc>
      </w:tr>
      <w:tr w:rsidR="00890C0C" w:rsidRPr="0017505B" w14:paraId="349F9ACA" w14:textId="77777777" w:rsidTr="00C6661D">
        <w:trPr>
          <w:trHeight w:val="854"/>
        </w:trPr>
        <w:tc>
          <w:tcPr>
            <w:tcW w:w="563" w:type="pct"/>
            <w:shd w:val="clear" w:color="auto" w:fill="FFFFFF" w:themeFill="background1"/>
          </w:tcPr>
          <w:p w14:paraId="37AD2E6E" w14:textId="77777777" w:rsidR="00890C0C" w:rsidRDefault="00890C0C" w:rsidP="005B5500">
            <w:pPr>
              <w:spacing w:before="120" w:after="120"/>
              <w:jc w:val="right"/>
              <w:rPr>
                <w:rFonts w:cs="Tahoma"/>
                <w:lang w:val="en-AU"/>
              </w:rPr>
            </w:pPr>
          </w:p>
        </w:tc>
        <w:tc>
          <w:tcPr>
            <w:tcW w:w="4437" w:type="pct"/>
            <w:shd w:val="clear" w:color="auto" w:fill="FFFFFF" w:themeFill="background1"/>
          </w:tcPr>
          <w:p w14:paraId="09DB141F" w14:textId="5FB3A365" w:rsidR="00890C0C" w:rsidRDefault="00890C0C" w:rsidP="005B5500">
            <w:pPr>
              <w:spacing w:before="120" w:after="120"/>
              <w:rPr>
                <w:rFonts w:cs="Tahoma"/>
                <w:lang w:val="en-AU"/>
              </w:rPr>
            </w:pPr>
            <w:r>
              <w:rPr>
                <w:rFonts w:cs="Tahoma"/>
                <w:lang w:val="en-AU"/>
              </w:rPr>
              <w:t>Cross-submitter’s view:</w:t>
            </w:r>
          </w:p>
        </w:tc>
      </w:tr>
      <w:tr w:rsidR="005B5500" w:rsidRPr="0017505B" w14:paraId="3458D54B" w14:textId="77777777" w:rsidTr="00C774D7">
        <w:trPr>
          <w:trHeight w:val="854"/>
        </w:trPr>
        <w:tc>
          <w:tcPr>
            <w:tcW w:w="563" w:type="pct"/>
            <w:shd w:val="clear" w:color="auto" w:fill="DEEAF6" w:themeFill="accent1" w:themeFillTint="33"/>
          </w:tcPr>
          <w:p w14:paraId="20B311E7" w14:textId="7424975C" w:rsidR="005B5500" w:rsidRDefault="005B5500" w:rsidP="00890C0C">
            <w:pPr>
              <w:spacing w:before="120" w:after="120"/>
              <w:jc w:val="right"/>
              <w:rPr>
                <w:rFonts w:cs="Tahoma"/>
                <w:lang w:val="en-AU"/>
              </w:rPr>
            </w:pPr>
            <w:r>
              <w:rPr>
                <w:rFonts w:cs="Tahoma"/>
                <w:lang w:val="en-AU"/>
              </w:rPr>
              <w:t>SQ1</w:t>
            </w:r>
            <w:r w:rsidR="00890C0C">
              <w:rPr>
                <w:rFonts w:cs="Tahoma"/>
                <w:lang w:val="en-AU"/>
              </w:rPr>
              <w:t>3</w:t>
            </w:r>
            <w:r>
              <w:rPr>
                <w:rFonts w:cs="Tahoma"/>
                <w:lang w:val="en-AU"/>
              </w:rPr>
              <w:t>:</w:t>
            </w:r>
          </w:p>
        </w:tc>
        <w:tc>
          <w:tcPr>
            <w:tcW w:w="4437" w:type="pct"/>
            <w:shd w:val="clear" w:color="auto" w:fill="DEEAF6" w:themeFill="accent1" w:themeFillTint="33"/>
          </w:tcPr>
          <w:p w14:paraId="10C29181" w14:textId="77777777" w:rsidR="005B5500" w:rsidRDefault="005B5500" w:rsidP="005B5500">
            <w:pPr>
              <w:spacing w:before="120" w:after="120"/>
              <w:rPr>
                <w:rFonts w:cs="Tahoma"/>
                <w:lang w:val="en-AU"/>
              </w:rPr>
            </w:pPr>
            <w:r>
              <w:rPr>
                <w:rFonts w:cs="Tahoma"/>
                <w:lang w:val="en-AU"/>
              </w:rPr>
              <w:t>Shell Q18: “</w:t>
            </w:r>
            <w:r w:rsidRPr="00AE4779">
              <w:rPr>
                <w:rFonts w:cs="Tahoma"/>
                <w:lang w:val="en-AU"/>
              </w:rPr>
              <w:t>No party considering entering into gas transmission or interconnection arrangements should be expected sign an agreement which states there are circumstances where the party can be “deemed not to have acted as a Reasonable and Prudent Operator”.</w:t>
            </w:r>
            <w:r>
              <w:rPr>
                <w:rFonts w:cs="Tahoma"/>
                <w:lang w:val="en-AU"/>
              </w:rPr>
              <w:t xml:space="preserve"> </w:t>
            </w:r>
            <w:r w:rsidRPr="00AE4779">
              <w:rPr>
                <w:rFonts w:cs="Tahoma"/>
                <w:lang w:val="en-AU"/>
              </w:rPr>
              <w:t>Such a determination should be determined by the facts. Any necessity for such a “deeming” is indicative of a flawed design in the liability provisions</w:t>
            </w:r>
            <w:r>
              <w:rPr>
                <w:rFonts w:cs="Tahoma"/>
                <w:lang w:val="en-AU"/>
              </w:rPr>
              <w:t>.”</w:t>
            </w:r>
          </w:p>
          <w:p w14:paraId="1354B963" w14:textId="77777777" w:rsidR="005B5500" w:rsidRPr="005B5500" w:rsidRDefault="005B5500" w:rsidP="005B5500">
            <w:pPr>
              <w:spacing w:before="120" w:after="120"/>
              <w:rPr>
                <w:rFonts w:cs="Tahoma"/>
                <w:i/>
                <w:lang w:val="en-AU"/>
              </w:rPr>
            </w:pPr>
            <w:r w:rsidRPr="005B5500">
              <w:rPr>
                <w:rFonts w:cs="Tahoma"/>
                <w:i/>
                <w:lang w:val="en-AU"/>
              </w:rPr>
              <w:t xml:space="preserve">Do you consider that the proposed provisions deeming a party not to be an RPO are significantly worse than provided for in the current codes? </w:t>
            </w:r>
          </w:p>
        </w:tc>
      </w:tr>
      <w:tr w:rsidR="005B5500" w:rsidRPr="0017505B" w14:paraId="61BFC9A6" w14:textId="77777777" w:rsidTr="00C774D7">
        <w:trPr>
          <w:trHeight w:val="854"/>
        </w:trPr>
        <w:tc>
          <w:tcPr>
            <w:tcW w:w="563" w:type="pct"/>
          </w:tcPr>
          <w:p w14:paraId="4EFB7F47" w14:textId="77777777" w:rsidR="005B5500" w:rsidRDefault="005B5500" w:rsidP="005B5500">
            <w:pPr>
              <w:spacing w:before="120" w:after="120"/>
              <w:jc w:val="right"/>
              <w:rPr>
                <w:rFonts w:cs="Tahoma"/>
                <w:lang w:val="en-AU"/>
              </w:rPr>
            </w:pPr>
          </w:p>
        </w:tc>
        <w:tc>
          <w:tcPr>
            <w:tcW w:w="4437" w:type="pct"/>
          </w:tcPr>
          <w:p w14:paraId="214EA940" w14:textId="77777777" w:rsidR="005B5500" w:rsidRDefault="005B5500" w:rsidP="005B5500">
            <w:pPr>
              <w:spacing w:before="120" w:after="120"/>
              <w:rPr>
                <w:rFonts w:cs="Tahoma"/>
                <w:lang w:val="en-AU"/>
              </w:rPr>
            </w:pPr>
            <w:r>
              <w:rPr>
                <w:rFonts w:cs="Tahoma"/>
                <w:lang w:val="en-AU"/>
              </w:rPr>
              <w:t>Cross-submitter’s view:</w:t>
            </w:r>
          </w:p>
        </w:tc>
      </w:tr>
      <w:tr w:rsidR="005B5500" w:rsidRPr="0017505B" w14:paraId="4729B139" w14:textId="77777777" w:rsidTr="00C774D7">
        <w:trPr>
          <w:trHeight w:val="854"/>
        </w:trPr>
        <w:tc>
          <w:tcPr>
            <w:tcW w:w="563" w:type="pct"/>
            <w:shd w:val="clear" w:color="auto" w:fill="DEEAF6" w:themeFill="accent1" w:themeFillTint="33"/>
          </w:tcPr>
          <w:p w14:paraId="15A7D780" w14:textId="3ACFA97F" w:rsidR="005B5500" w:rsidRDefault="005B5500" w:rsidP="00890C0C">
            <w:pPr>
              <w:spacing w:before="120" w:after="120"/>
              <w:jc w:val="right"/>
              <w:rPr>
                <w:rFonts w:cs="Tahoma"/>
                <w:lang w:val="en-AU"/>
              </w:rPr>
            </w:pPr>
            <w:r>
              <w:rPr>
                <w:rFonts w:cs="Tahoma"/>
                <w:lang w:val="en-AU"/>
              </w:rPr>
              <w:t>SQ1</w:t>
            </w:r>
            <w:r w:rsidR="00890C0C">
              <w:rPr>
                <w:rFonts w:cs="Tahoma"/>
                <w:lang w:val="en-AU"/>
              </w:rPr>
              <w:t>4</w:t>
            </w:r>
            <w:r>
              <w:rPr>
                <w:rFonts w:cs="Tahoma"/>
                <w:lang w:val="en-AU"/>
              </w:rPr>
              <w:t>:</w:t>
            </w:r>
          </w:p>
        </w:tc>
        <w:tc>
          <w:tcPr>
            <w:tcW w:w="4437" w:type="pct"/>
            <w:shd w:val="clear" w:color="auto" w:fill="DEEAF6" w:themeFill="accent1" w:themeFillTint="33"/>
          </w:tcPr>
          <w:p w14:paraId="6302F615" w14:textId="77777777" w:rsidR="005B5500" w:rsidRDefault="005B5500" w:rsidP="005B5500">
            <w:pPr>
              <w:spacing w:before="120" w:after="120"/>
              <w:rPr>
                <w:rFonts w:cs="Tahoma"/>
                <w:lang w:val="en-AU"/>
              </w:rPr>
            </w:pPr>
            <w:r>
              <w:rPr>
                <w:rFonts w:cs="Tahoma"/>
                <w:lang w:val="en-AU"/>
              </w:rPr>
              <w:t>There are some strongly contrasting views on whether the nominations workload would significantly increase the administrative burden for stakeholders. For example, Greymouth Q2: “</w:t>
            </w:r>
            <w:r w:rsidRPr="00573D94">
              <w:rPr>
                <w:rFonts w:cs="Tahoma"/>
                <w:lang w:val="en-AU"/>
              </w:rPr>
              <w:t>We consider the potential impact on end-users of punitive fees for incorrect nominations has been underestimated.  The workload on those end-users whose shipper agreements delegate nomination obligations to them will increase significantly.</w:t>
            </w:r>
            <w:r>
              <w:rPr>
                <w:rFonts w:cs="Tahoma"/>
                <w:lang w:val="en-AU"/>
              </w:rPr>
              <w:t>” And, in contrast, Genesis Q15: “</w:t>
            </w:r>
            <w:r w:rsidRPr="00573D94">
              <w:rPr>
                <w:rFonts w:cs="Tahoma"/>
                <w:lang w:val="en-AU"/>
              </w:rPr>
              <w:t>We agree</w:t>
            </w:r>
            <w:r>
              <w:rPr>
                <w:rFonts w:cs="Tahoma"/>
                <w:lang w:val="en-AU"/>
              </w:rPr>
              <w:t xml:space="preserve"> </w:t>
            </w:r>
            <w:r w:rsidRPr="00573D94">
              <w:rPr>
                <w:rFonts w:cs="Tahoma"/>
                <w:lang w:val="en-AU"/>
              </w:rPr>
              <w:t>that once the upfront capital cost of</w:t>
            </w:r>
            <w:r>
              <w:rPr>
                <w:rFonts w:cs="Tahoma"/>
                <w:lang w:val="en-AU"/>
              </w:rPr>
              <w:t xml:space="preserve"> </w:t>
            </w:r>
            <w:r w:rsidRPr="00573D94">
              <w:rPr>
                <w:rFonts w:cs="Tahoma"/>
                <w:lang w:val="en-AU"/>
              </w:rPr>
              <w:t>the</w:t>
            </w:r>
            <w:r>
              <w:rPr>
                <w:rFonts w:cs="Tahoma"/>
                <w:lang w:val="en-AU"/>
              </w:rPr>
              <w:t xml:space="preserve"> </w:t>
            </w:r>
            <w:r w:rsidRPr="00573D94">
              <w:rPr>
                <w:rFonts w:cs="Tahoma"/>
                <w:lang w:val="en-AU"/>
              </w:rPr>
              <w:t>systems upgrade is</w:t>
            </w:r>
            <w:r>
              <w:rPr>
                <w:rFonts w:cs="Tahoma"/>
                <w:lang w:val="en-AU"/>
              </w:rPr>
              <w:t xml:space="preserve"> </w:t>
            </w:r>
            <w:r w:rsidRPr="00573D94">
              <w:rPr>
                <w:rFonts w:cs="Tahoma"/>
                <w:lang w:val="en-AU"/>
              </w:rPr>
              <w:t>paid for,</w:t>
            </w:r>
            <w:r>
              <w:rPr>
                <w:rFonts w:cs="Tahoma"/>
                <w:lang w:val="en-AU"/>
              </w:rPr>
              <w:t xml:space="preserve"> </w:t>
            </w:r>
            <w:r w:rsidRPr="00573D94">
              <w:rPr>
                <w:rFonts w:cs="Tahoma"/>
                <w:lang w:val="en-AU"/>
              </w:rPr>
              <w:t>the ongoing</w:t>
            </w:r>
            <w:r>
              <w:rPr>
                <w:rFonts w:cs="Tahoma"/>
                <w:lang w:val="en-AU"/>
              </w:rPr>
              <w:t xml:space="preserve"> </w:t>
            </w:r>
            <w:r w:rsidRPr="00573D94">
              <w:rPr>
                <w:rFonts w:cs="Tahoma"/>
                <w:lang w:val="en-AU"/>
              </w:rPr>
              <w:t>staffing costs associated with nominations</w:t>
            </w:r>
            <w:r>
              <w:rPr>
                <w:rFonts w:cs="Tahoma"/>
                <w:lang w:val="en-AU"/>
              </w:rPr>
              <w:t xml:space="preserve"> </w:t>
            </w:r>
            <w:r w:rsidRPr="00573D94">
              <w:rPr>
                <w:rFonts w:cs="Tahoma"/>
                <w:lang w:val="en-AU"/>
              </w:rPr>
              <w:t>should not be material</w:t>
            </w:r>
            <w:r>
              <w:rPr>
                <w:rFonts w:cs="Tahoma"/>
                <w:lang w:val="en-AU"/>
              </w:rPr>
              <w:t>.”</w:t>
            </w:r>
          </w:p>
          <w:p w14:paraId="03A76065" w14:textId="77777777" w:rsidR="005B5500" w:rsidRPr="005B5500" w:rsidRDefault="005B5500" w:rsidP="005B5500">
            <w:pPr>
              <w:spacing w:before="120" w:after="120"/>
              <w:rPr>
                <w:rFonts w:cs="Tahoma"/>
                <w:i/>
                <w:lang w:val="en-AU"/>
              </w:rPr>
            </w:pPr>
            <w:r w:rsidRPr="005B5500">
              <w:rPr>
                <w:rFonts w:cs="Tahoma"/>
                <w:i/>
                <w:lang w:val="en-AU"/>
              </w:rPr>
              <w:t>Do you consider that the proposed nomination arrangements would significantly increase or decrease the administrative burden for stakeholders?</w:t>
            </w:r>
          </w:p>
        </w:tc>
      </w:tr>
      <w:tr w:rsidR="005B5500" w:rsidRPr="0017505B" w14:paraId="2013B50F" w14:textId="77777777" w:rsidTr="00C774D7">
        <w:trPr>
          <w:trHeight w:val="854"/>
        </w:trPr>
        <w:tc>
          <w:tcPr>
            <w:tcW w:w="563" w:type="pct"/>
          </w:tcPr>
          <w:p w14:paraId="2580A9D5" w14:textId="77777777" w:rsidR="005B5500" w:rsidRDefault="005B5500" w:rsidP="005B5500">
            <w:pPr>
              <w:spacing w:before="120" w:after="120"/>
              <w:jc w:val="right"/>
              <w:rPr>
                <w:rFonts w:cs="Tahoma"/>
                <w:lang w:val="en-AU"/>
              </w:rPr>
            </w:pPr>
          </w:p>
        </w:tc>
        <w:tc>
          <w:tcPr>
            <w:tcW w:w="4437" w:type="pct"/>
          </w:tcPr>
          <w:p w14:paraId="540006DA" w14:textId="77777777" w:rsidR="005B5500" w:rsidRDefault="005B5500" w:rsidP="005B5500">
            <w:pPr>
              <w:spacing w:before="120" w:after="120"/>
              <w:rPr>
                <w:rFonts w:cs="Tahoma"/>
                <w:lang w:val="en-AU"/>
              </w:rPr>
            </w:pPr>
            <w:r>
              <w:rPr>
                <w:rFonts w:cs="Tahoma"/>
                <w:lang w:val="en-AU"/>
              </w:rPr>
              <w:t>Cross-submitter’s view:</w:t>
            </w:r>
          </w:p>
        </w:tc>
      </w:tr>
      <w:tr w:rsidR="005B5500" w:rsidRPr="0017505B" w14:paraId="2E08CF16" w14:textId="77777777" w:rsidTr="00C774D7">
        <w:trPr>
          <w:trHeight w:val="854"/>
        </w:trPr>
        <w:tc>
          <w:tcPr>
            <w:tcW w:w="563" w:type="pct"/>
            <w:shd w:val="clear" w:color="auto" w:fill="DEEAF6" w:themeFill="accent1" w:themeFillTint="33"/>
          </w:tcPr>
          <w:p w14:paraId="2F15CE73" w14:textId="4BA63764" w:rsidR="005B5500" w:rsidRDefault="005B5500" w:rsidP="00890C0C">
            <w:pPr>
              <w:spacing w:before="120" w:after="120"/>
              <w:jc w:val="right"/>
              <w:rPr>
                <w:rFonts w:cs="Tahoma"/>
                <w:lang w:val="en-AU"/>
              </w:rPr>
            </w:pPr>
            <w:r>
              <w:rPr>
                <w:rFonts w:cs="Tahoma"/>
                <w:lang w:val="en-AU"/>
              </w:rPr>
              <w:t>SQ1</w:t>
            </w:r>
            <w:r w:rsidR="00890C0C">
              <w:rPr>
                <w:rFonts w:cs="Tahoma"/>
                <w:lang w:val="en-AU"/>
              </w:rPr>
              <w:t>5</w:t>
            </w:r>
            <w:r>
              <w:rPr>
                <w:rFonts w:cs="Tahoma"/>
                <w:lang w:val="en-AU"/>
              </w:rPr>
              <w:t>:</w:t>
            </w:r>
          </w:p>
        </w:tc>
        <w:tc>
          <w:tcPr>
            <w:tcW w:w="4437" w:type="pct"/>
            <w:shd w:val="clear" w:color="auto" w:fill="DEEAF6" w:themeFill="accent1" w:themeFillTint="33"/>
          </w:tcPr>
          <w:p w14:paraId="729DEEFC" w14:textId="77777777" w:rsidR="005B5500" w:rsidRDefault="005B5500" w:rsidP="005B5500">
            <w:pPr>
              <w:spacing w:before="120" w:after="120"/>
              <w:rPr>
                <w:rFonts w:cs="Tahoma"/>
                <w:lang w:val="en-AU"/>
              </w:rPr>
            </w:pPr>
            <w:r>
              <w:rPr>
                <w:rFonts w:cs="Tahoma"/>
                <w:lang w:val="en-AU"/>
              </w:rPr>
              <w:t>There are some strongly contrasting views on whether the proposed balancing arrangements would increase or decrease spot market activity. For example, Shell Q6: “</w:t>
            </w:r>
            <w:r w:rsidRPr="00EF2EAB">
              <w:rPr>
                <w:rFonts w:cs="Tahoma"/>
                <w:lang w:val="en-AU"/>
              </w:rPr>
              <w:t>There is no basis for the GIC’s assertion that the GTAC proposal for balancing has the “potential for increased activity in the spot market”. With the reduced incentive for shippers to balance, the GTAC proposal will likely reduce the activity on the spot market.</w:t>
            </w:r>
            <w:r>
              <w:rPr>
                <w:rFonts w:cs="Tahoma"/>
                <w:lang w:val="en-AU"/>
              </w:rPr>
              <w:t>” And, in contrast, Todd Q6: “</w:t>
            </w:r>
            <w:r w:rsidRPr="00EF2EAB">
              <w:rPr>
                <w:rFonts w:cs="Tahoma"/>
                <w:lang w:val="en-AU"/>
              </w:rPr>
              <w:t>Todd agrees with the discussion of the various aspects of the GTAC balancing arrangements. In terms of the</w:t>
            </w:r>
            <w:r>
              <w:rPr>
                <w:rFonts w:cs="Tahoma"/>
                <w:lang w:val="en-AU"/>
              </w:rPr>
              <w:t xml:space="preserve"> </w:t>
            </w:r>
            <w:r w:rsidRPr="00EF2EAB">
              <w:rPr>
                <w:rFonts w:cs="Tahoma"/>
                <w:lang w:val="en-AU"/>
              </w:rPr>
              <w:t>assessment, it agrees that the tolerance terms could be improved, but believes the overall efficiency gain is in fact a very material improvement on current arrangements.</w:t>
            </w:r>
            <w:r>
              <w:rPr>
                <w:rFonts w:cs="Tahoma"/>
                <w:lang w:val="en-AU"/>
              </w:rPr>
              <w:t xml:space="preserve"> </w:t>
            </w:r>
            <w:r w:rsidRPr="00EF2EAB">
              <w:rPr>
                <w:rFonts w:cs="Tahoma"/>
                <w:lang w:val="en-AU"/>
              </w:rPr>
              <w:t>The likely incentive for greater trading on the emsTradepoint gas market is one aspect of that improvement.</w:t>
            </w:r>
            <w:r>
              <w:rPr>
                <w:rFonts w:cs="Tahoma"/>
                <w:lang w:val="en-AU"/>
              </w:rPr>
              <w:t>”</w:t>
            </w:r>
          </w:p>
          <w:p w14:paraId="2FE63840" w14:textId="77777777" w:rsidR="005B5500" w:rsidRPr="005B5500" w:rsidRDefault="005B5500" w:rsidP="005B5500">
            <w:pPr>
              <w:spacing w:before="120" w:after="120"/>
              <w:rPr>
                <w:rFonts w:cs="Tahoma"/>
                <w:i/>
                <w:lang w:val="en-AU"/>
              </w:rPr>
            </w:pPr>
            <w:r w:rsidRPr="005B5500">
              <w:rPr>
                <w:rFonts w:cs="Tahoma"/>
                <w:i/>
                <w:lang w:val="en-AU"/>
              </w:rPr>
              <w:t xml:space="preserve">Do you consider that the proposed balancing arrangements would likely increase or decrease the spot market trading your business might engage in?  </w:t>
            </w:r>
          </w:p>
        </w:tc>
      </w:tr>
      <w:tr w:rsidR="005B5500" w:rsidRPr="0017505B" w14:paraId="73413145" w14:textId="77777777" w:rsidTr="00C774D7">
        <w:trPr>
          <w:trHeight w:val="854"/>
        </w:trPr>
        <w:tc>
          <w:tcPr>
            <w:tcW w:w="563" w:type="pct"/>
          </w:tcPr>
          <w:p w14:paraId="22FD3EAF" w14:textId="77777777" w:rsidR="005B5500" w:rsidRPr="0017505B" w:rsidRDefault="005B5500" w:rsidP="005B5500">
            <w:pPr>
              <w:spacing w:before="120" w:after="120"/>
              <w:jc w:val="right"/>
              <w:rPr>
                <w:rFonts w:cs="Tahoma"/>
                <w:lang w:val="en-AU"/>
              </w:rPr>
            </w:pPr>
          </w:p>
        </w:tc>
        <w:tc>
          <w:tcPr>
            <w:tcW w:w="4437" w:type="pct"/>
          </w:tcPr>
          <w:p w14:paraId="685A822F"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74633907" w14:textId="77777777" w:rsidTr="00C774D7">
        <w:trPr>
          <w:trHeight w:val="854"/>
        </w:trPr>
        <w:tc>
          <w:tcPr>
            <w:tcW w:w="563" w:type="pct"/>
            <w:shd w:val="clear" w:color="auto" w:fill="DEEAF6" w:themeFill="accent1" w:themeFillTint="33"/>
          </w:tcPr>
          <w:p w14:paraId="270C08FF" w14:textId="42A7D164" w:rsidR="005B5500" w:rsidRPr="0017505B" w:rsidRDefault="005B5500" w:rsidP="00890C0C">
            <w:pPr>
              <w:spacing w:before="120" w:after="120"/>
              <w:jc w:val="right"/>
              <w:rPr>
                <w:rFonts w:cs="Tahoma"/>
                <w:lang w:val="en-AU"/>
              </w:rPr>
            </w:pPr>
            <w:r>
              <w:rPr>
                <w:rFonts w:cs="Tahoma"/>
                <w:lang w:val="en-AU"/>
              </w:rPr>
              <w:t>SQ1</w:t>
            </w:r>
            <w:r w:rsidR="00890C0C">
              <w:rPr>
                <w:rFonts w:cs="Tahoma"/>
                <w:lang w:val="en-AU"/>
              </w:rPr>
              <w:t>6</w:t>
            </w:r>
            <w:r>
              <w:rPr>
                <w:rFonts w:cs="Tahoma"/>
                <w:lang w:val="en-AU"/>
              </w:rPr>
              <w:t>:</w:t>
            </w:r>
          </w:p>
        </w:tc>
        <w:tc>
          <w:tcPr>
            <w:tcW w:w="4437" w:type="pct"/>
            <w:shd w:val="clear" w:color="auto" w:fill="DEEAF6" w:themeFill="accent1" w:themeFillTint="33"/>
          </w:tcPr>
          <w:p w14:paraId="13C1EBE4" w14:textId="77777777" w:rsidR="005B5500" w:rsidRPr="004F746C" w:rsidRDefault="005B5500" w:rsidP="005B5500">
            <w:pPr>
              <w:spacing w:before="120" w:after="120"/>
              <w:rPr>
                <w:rFonts w:cs="Tahoma"/>
                <w:lang w:val="en-AU"/>
              </w:rPr>
            </w:pPr>
            <w:r w:rsidRPr="00B11BBE">
              <w:rPr>
                <w:rFonts w:cs="Tahoma"/>
                <w:lang w:val="en-AU"/>
              </w:rPr>
              <w:t xml:space="preserve">There are some strongly contrasting views on whether the </w:t>
            </w:r>
            <w:r>
              <w:rPr>
                <w:rFonts w:cs="Tahoma"/>
                <w:lang w:val="en-AU"/>
              </w:rPr>
              <w:t>proposed requirements for parties to demonstrate the need for a Supplementary Agreement (SA) would likely result in more or less SAs. For example, First Gas Q14:</w:t>
            </w:r>
            <w:r>
              <w:t xml:space="preserve"> “</w:t>
            </w:r>
            <w:r w:rsidRPr="00997A34">
              <w:rPr>
                <w:rFonts w:cs="Tahoma"/>
                <w:lang w:val="en-AU"/>
              </w:rPr>
              <w:t xml:space="preserve">The assessment seems to miss the importance </w:t>
            </w:r>
            <w:r>
              <w:rPr>
                <w:rFonts w:cs="Tahoma"/>
                <w:lang w:val="en-AU"/>
              </w:rPr>
              <w:t>o</w:t>
            </w:r>
            <w:r w:rsidRPr="00997A34">
              <w:rPr>
                <w:rFonts w:cs="Tahoma"/>
                <w:lang w:val="en-AU"/>
              </w:rPr>
              <w:t>f requiring parties to demonstrate</w:t>
            </w:r>
            <w:r>
              <w:rPr>
                <w:rFonts w:cs="Tahoma"/>
                <w:lang w:val="en-AU"/>
              </w:rPr>
              <w:t xml:space="preserve"> </w:t>
            </w:r>
            <w:r w:rsidRPr="00997A34">
              <w:rPr>
                <w:rFonts w:cs="Tahoma"/>
                <w:lang w:val="en-AU"/>
              </w:rPr>
              <w:t>the need for an SA.</w:t>
            </w:r>
            <w:r>
              <w:rPr>
                <w:rFonts w:cs="Tahoma"/>
                <w:lang w:val="en-AU"/>
              </w:rPr>
              <w:t xml:space="preserve">” And, in contrast, </w:t>
            </w:r>
            <w:r w:rsidRPr="004F746C">
              <w:rPr>
                <w:rFonts w:cs="Tahoma"/>
                <w:lang w:val="en-AU"/>
              </w:rPr>
              <w:t>Genesis Q14: “We note that supplementary agreements may be more necessary than the GIC realises in its assessment. For example, Genesis may need to ‘contract out’ of the GTAC’s hourly overrun charge regime to maximise gas throughput at Huntly.”</w:t>
            </w:r>
          </w:p>
          <w:p w14:paraId="118347B9" w14:textId="77777777" w:rsidR="005B5500" w:rsidRPr="005B5500" w:rsidRDefault="005B5500" w:rsidP="005B5500">
            <w:pPr>
              <w:spacing w:before="120" w:after="120"/>
              <w:rPr>
                <w:rFonts w:cs="Tahoma"/>
                <w:i/>
                <w:lang w:val="en-AU"/>
              </w:rPr>
            </w:pPr>
            <w:r w:rsidRPr="005B5500">
              <w:rPr>
                <w:rFonts w:cs="Tahoma"/>
                <w:i/>
                <w:lang w:val="en-AU"/>
              </w:rPr>
              <w:t>Do you think SAs are likely to become more prevalent under the proposed GTAC arrangements? For what reason(s)?</w:t>
            </w:r>
          </w:p>
        </w:tc>
      </w:tr>
      <w:tr w:rsidR="005B5500" w:rsidRPr="0017505B" w14:paraId="7438ADAA" w14:textId="77777777" w:rsidTr="00C774D7">
        <w:trPr>
          <w:trHeight w:val="854"/>
        </w:trPr>
        <w:tc>
          <w:tcPr>
            <w:tcW w:w="563" w:type="pct"/>
          </w:tcPr>
          <w:p w14:paraId="1D8FC3EC" w14:textId="77777777" w:rsidR="005B5500" w:rsidRPr="0017505B" w:rsidRDefault="005B5500" w:rsidP="005B5500">
            <w:pPr>
              <w:spacing w:before="120" w:after="120"/>
              <w:jc w:val="right"/>
              <w:rPr>
                <w:rFonts w:cs="Tahoma"/>
                <w:lang w:val="en-AU"/>
              </w:rPr>
            </w:pPr>
          </w:p>
        </w:tc>
        <w:tc>
          <w:tcPr>
            <w:tcW w:w="4437" w:type="pct"/>
          </w:tcPr>
          <w:p w14:paraId="2F5BEA4F"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18235245" w14:textId="77777777" w:rsidTr="00C774D7">
        <w:trPr>
          <w:trHeight w:val="854"/>
        </w:trPr>
        <w:tc>
          <w:tcPr>
            <w:tcW w:w="563" w:type="pct"/>
            <w:shd w:val="clear" w:color="auto" w:fill="DEEAF6" w:themeFill="accent1" w:themeFillTint="33"/>
          </w:tcPr>
          <w:p w14:paraId="3D6B5236" w14:textId="3B18CFE8" w:rsidR="005B5500" w:rsidRPr="0017505B" w:rsidRDefault="005B5500" w:rsidP="00890C0C">
            <w:pPr>
              <w:spacing w:before="120" w:after="120"/>
              <w:jc w:val="right"/>
              <w:rPr>
                <w:rFonts w:cs="Tahoma"/>
                <w:lang w:val="en-AU"/>
              </w:rPr>
            </w:pPr>
            <w:r>
              <w:rPr>
                <w:rFonts w:cs="Tahoma"/>
                <w:lang w:val="en-AU"/>
              </w:rPr>
              <w:t>SQ1</w:t>
            </w:r>
            <w:r w:rsidR="00890C0C">
              <w:rPr>
                <w:rFonts w:cs="Tahoma"/>
                <w:lang w:val="en-AU"/>
              </w:rPr>
              <w:t>7</w:t>
            </w:r>
            <w:r>
              <w:rPr>
                <w:rFonts w:cs="Tahoma"/>
                <w:lang w:val="en-AU"/>
              </w:rPr>
              <w:t>:</w:t>
            </w:r>
          </w:p>
        </w:tc>
        <w:tc>
          <w:tcPr>
            <w:tcW w:w="4437" w:type="pct"/>
            <w:shd w:val="clear" w:color="auto" w:fill="DEEAF6" w:themeFill="accent1" w:themeFillTint="33"/>
          </w:tcPr>
          <w:p w14:paraId="593DBA68" w14:textId="77777777" w:rsidR="005B5500" w:rsidRPr="004F746C" w:rsidRDefault="005B5500" w:rsidP="005B5500">
            <w:pPr>
              <w:spacing w:before="120" w:after="120"/>
              <w:rPr>
                <w:rFonts w:cs="Tahoma"/>
                <w:lang w:val="en-AU"/>
              </w:rPr>
            </w:pPr>
            <w:r w:rsidRPr="004F746C">
              <w:rPr>
                <w:rFonts w:cs="Tahoma"/>
                <w:lang w:val="en-AU"/>
              </w:rPr>
              <w:t xml:space="preserve">There are some strongly contrasting views on whether the </w:t>
            </w:r>
            <w:r>
              <w:rPr>
                <w:rFonts w:cs="Tahoma"/>
                <w:lang w:val="en-AU"/>
              </w:rPr>
              <w:t xml:space="preserve">proposal would bring more excursions from the Target Taranaki Pressure (TTP). </w:t>
            </w:r>
            <w:r w:rsidRPr="004F746C">
              <w:rPr>
                <w:rFonts w:cs="Tahoma"/>
                <w:lang w:val="en-AU"/>
              </w:rPr>
              <w:t xml:space="preserve"> For example, First Gas Q1</w:t>
            </w:r>
            <w:r>
              <w:rPr>
                <w:rFonts w:cs="Tahoma"/>
                <w:lang w:val="en-AU"/>
              </w:rPr>
              <w:t>9</w:t>
            </w:r>
            <w:r w:rsidRPr="004F746C">
              <w:rPr>
                <w:rFonts w:cs="Tahoma"/>
                <w:lang w:val="en-AU"/>
              </w:rPr>
              <w:t xml:space="preserve">: </w:t>
            </w:r>
            <w:r>
              <w:rPr>
                <w:rFonts w:cs="Tahoma"/>
                <w:lang w:val="en-AU"/>
              </w:rPr>
              <w:t>“</w:t>
            </w:r>
            <w:r w:rsidRPr="004F746C">
              <w:rPr>
                <w:rFonts w:cs="Tahoma"/>
                <w:lang w:val="en-AU"/>
              </w:rPr>
              <w:t>The GTAC drafting better reflects reality. As system operator,</w:t>
            </w:r>
            <w:r>
              <w:rPr>
                <w:rFonts w:cs="Tahoma"/>
                <w:lang w:val="en-AU"/>
              </w:rPr>
              <w:t xml:space="preserve"> </w:t>
            </w:r>
            <w:r w:rsidRPr="004F746C">
              <w:rPr>
                <w:rFonts w:cs="Tahoma"/>
                <w:lang w:val="en-AU"/>
              </w:rPr>
              <w:t>we endeavour to keep TTP within the range, but there are factors outside of our control that cause divergence. This therefore appears to be more an issue of contractual wording, rather than requiring any change in behaviour from First Gas as system operator.</w:t>
            </w:r>
            <w:r>
              <w:rPr>
                <w:rFonts w:cs="Tahoma"/>
                <w:lang w:val="en-AU"/>
              </w:rPr>
              <w:t>” And, in contrast, Methanex Q19, p20: “</w:t>
            </w:r>
            <w:r w:rsidRPr="00F45CF1">
              <w:rPr>
                <w:rFonts w:cs="Tahoma"/>
                <w:lang w:val="en-AU"/>
              </w:rPr>
              <w:t xml:space="preserve">In regard to there being frequent (but brief) excursions, we consider that the obligation to maintain pressure between 42-48 bar in MPOC does not infer strict observance but it does place an obligation on FGL to act in order to return pipeline pressure to the mandated range.  This contrasts with the much weaker </w:t>
            </w:r>
            <w:r>
              <w:rPr>
                <w:rFonts w:cs="Tahoma"/>
                <w:lang w:val="en-AU"/>
              </w:rPr>
              <w:t>r</w:t>
            </w:r>
            <w:r w:rsidRPr="00F45CF1">
              <w:rPr>
                <w:rFonts w:cs="Tahoma"/>
                <w:lang w:val="en-AU"/>
              </w:rPr>
              <w:t>easonable</w:t>
            </w:r>
            <w:r>
              <w:rPr>
                <w:rFonts w:cs="Tahoma"/>
                <w:lang w:val="en-AU"/>
              </w:rPr>
              <w:t xml:space="preserve"> e</w:t>
            </w:r>
            <w:r w:rsidRPr="00F45CF1">
              <w:rPr>
                <w:rFonts w:cs="Tahoma"/>
                <w:lang w:val="en-AU"/>
              </w:rPr>
              <w:t>ndeavours obligation in GTAC, which is further weakened by the TTP also being subject to the level of “aggregate ERM”, which is at best an ambiguous modifier.</w:t>
            </w:r>
            <w:r>
              <w:rPr>
                <w:rFonts w:cs="Tahoma"/>
                <w:lang w:val="en-AU"/>
              </w:rPr>
              <w:t>”</w:t>
            </w:r>
          </w:p>
          <w:p w14:paraId="30250AFD" w14:textId="79D10163" w:rsidR="005B5500" w:rsidRPr="005B5500" w:rsidRDefault="005B5500" w:rsidP="005B5500">
            <w:pPr>
              <w:spacing w:before="120" w:after="120"/>
              <w:rPr>
                <w:rFonts w:cs="Tahoma"/>
                <w:i/>
                <w:lang w:val="en-AU"/>
              </w:rPr>
            </w:pPr>
            <w:r w:rsidRPr="005B5500">
              <w:rPr>
                <w:rFonts w:cs="Tahoma"/>
                <w:i/>
                <w:lang w:val="en-AU"/>
              </w:rPr>
              <w:t>Do you think the proposed arrangements put weaker incentives on First Gas to maintain the TTP</w:t>
            </w:r>
            <w:r w:rsidR="00A567CD">
              <w:rPr>
                <w:rFonts w:cs="Tahoma"/>
                <w:i/>
                <w:lang w:val="en-AU"/>
              </w:rPr>
              <w:t>, that could lead to more relaxed management and increased costs to interconnected parties</w:t>
            </w:r>
            <w:r w:rsidRPr="005B5500">
              <w:rPr>
                <w:rFonts w:cs="Tahoma"/>
                <w:i/>
                <w:lang w:val="en-AU"/>
              </w:rPr>
              <w:t>?</w:t>
            </w:r>
          </w:p>
        </w:tc>
      </w:tr>
      <w:tr w:rsidR="005B5500" w:rsidRPr="0017505B" w14:paraId="7A1AC3A1" w14:textId="77777777" w:rsidTr="00C774D7">
        <w:trPr>
          <w:trHeight w:val="854"/>
        </w:trPr>
        <w:tc>
          <w:tcPr>
            <w:tcW w:w="563" w:type="pct"/>
          </w:tcPr>
          <w:p w14:paraId="1E17EA0D" w14:textId="77777777" w:rsidR="005B5500" w:rsidRPr="0017505B" w:rsidRDefault="005B5500" w:rsidP="005B5500">
            <w:pPr>
              <w:spacing w:before="120" w:after="120"/>
              <w:jc w:val="right"/>
              <w:rPr>
                <w:rFonts w:cs="Tahoma"/>
                <w:lang w:val="en-AU"/>
              </w:rPr>
            </w:pPr>
          </w:p>
        </w:tc>
        <w:tc>
          <w:tcPr>
            <w:tcW w:w="4437" w:type="pct"/>
          </w:tcPr>
          <w:p w14:paraId="167AA50E"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139B6FEA" w14:textId="77777777" w:rsidTr="00C774D7">
        <w:trPr>
          <w:trHeight w:val="854"/>
        </w:trPr>
        <w:tc>
          <w:tcPr>
            <w:tcW w:w="563" w:type="pct"/>
            <w:shd w:val="clear" w:color="auto" w:fill="DEEAF6" w:themeFill="accent1" w:themeFillTint="33"/>
          </w:tcPr>
          <w:p w14:paraId="6FCFE482" w14:textId="41ECC44F" w:rsidR="005B5500" w:rsidRPr="0017505B" w:rsidRDefault="005B5500" w:rsidP="00890C0C">
            <w:pPr>
              <w:spacing w:before="120" w:after="120"/>
              <w:jc w:val="right"/>
              <w:rPr>
                <w:rFonts w:cs="Tahoma"/>
                <w:lang w:val="en-AU"/>
              </w:rPr>
            </w:pPr>
            <w:r>
              <w:rPr>
                <w:rFonts w:cs="Tahoma"/>
                <w:lang w:val="en-AU"/>
              </w:rPr>
              <w:t>SQ1</w:t>
            </w:r>
            <w:r w:rsidR="00890C0C">
              <w:rPr>
                <w:rFonts w:cs="Tahoma"/>
                <w:lang w:val="en-AU"/>
              </w:rPr>
              <w:t>8</w:t>
            </w:r>
            <w:r>
              <w:rPr>
                <w:rFonts w:cs="Tahoma"/>
                <w:lang w:val="en-AU"/>
              </w:rPr>
              <w:t>:</w:t>
            </w:r>
          </w:p>
        </w:tc>
        <w:tc>
          <w:tcPr>
            <w:tcW w:w="4437" w:type="pct"/>
            <w:shd w:val="clear" w:color="auto" w:fill="DEEAF6" w:themeFill="accent1" w:themeFillTint="33"/>
          </w:tcPr>
          <w:p w14:paraId="157E3428" w14:textId="3333DA0D" w:rsidR="005B5500" w:rsidRDefault="005B5500" w:rsidP="005B5500">
            <w:pPr>
              <w:spacing w:before="120" w:after="120"/>
              <w:rPr>
                <w:rFonts w:cs="Tahoma"/>
                <w:lang w:val="en-AU"/>
              </w:rPr>
            </w:pPr>
            <w:r w:rsidRPr="00103E46">
              <w:rPr>
                <w:rFonts w:cs="Tahoma"/>
                <w:lang w:val="en-AU"/>
              </w:rPr>
              <w:t xml:space="preserve">There are some strongly contrasting views </w:t>
            </w:r>
            <w:r w:rsidR="00A567CD">
              <w:rPr>
                <w:rFonts w:cs="Tahoma"/>
                <w:lang w:val="en-AU"/>
              </w:rPr>
              <w:t>in relation to gas quality</w:t>
            </w:r>
            <w:r w:rsidRPr="00103E46">
              <w:rPr>
                <w:rFonts w:cs="Tahoma"/>
                <w:lang w:val="en-AU"/>
              </w:rPr>
              <w:t xml:space="preserve">.  For example, </w:t>
            </w:r>
            <w:r>
              <w:rPr>
                <w:rFonts w:cs="Tahoma"/>
                <w:lang w:val="en-AU"/>
              </w:rPr>
              <w:t xml:space="preserve">Methanex </w:t>
            </w:r>
            <w:r w:rsidRPr="00103E46">
              <w:rPr>
                <w:rFonts w:cs="Tahoma"/>
                <w:lang w:val="en-AU"/>
              </w:rPr>
              <w:t>Q9</w:t>
            </w:r>
            <w:r>
              <w:rPr>
                <w:rFonts w:cs="Tahoma"/>
                <w:lang w:val="en-AU"/>
              </w:rPr>
              <w:t>, p11</w:t>
            </w:r>
            <w:r w:rsidRPr="00103E46">
              <w:rPr>
                <w:rFonts w:cs="Tahoma"/>
                <w:lang w:val="en-AU"/>
              </w:rPr>
              <w:t>: “We believe GIC is misrepresenting “passive” wording in GTAC for what is, a substantive reduction in FGL</w:t>
            </w:r>
            <w:r>
              <w:rPr>
                <w:rFonts w:cs="Tahoma"/>
                <w:lang w:val="en-AU"/>
              </w:rPr>
              <w:t>’</w:t>
            </w:r>
            <w:r w:rsidRPr="00103E46">
              <w:rPr>
                <w:rFonts w:cs="Tahoma"/>
                <w:lang w:val="en-AU"/>
              </w:rPr>
              <w:t xml:space="preserve">s obligations to protect its customers from the prospect of receiving non-specification gas. In particular, we dispute that the provisions of </w:t>
            </w:r>
            <w:r>
              <w:rPr>
                <w:rFonts w:cs="Tahoma"/>
                <w:lang w:val="en-AU"/>
              </w:rPr>
              <w:t xml:space="preserve">[GTAC] </w:t>
            </w:r>
            <w:r w:rsidRPr="00103E46">
              <w:rPr>
                <w:rFonts w:cs="Tahoma"/>
                <w:lang w:val="en-AU"/>
              </w:rPr>
              <w:t>Sections 12.8 and 12.11 are passive in absolving FGL of responsibilities and liabilities.</w:t>
            </w:r>
            <w:r>
              <w:rPr>
                <w:rFonts w:cs="Tahoma"/>
                <w:lang w:val="en-AU"/>
              </w:rPr>
              <w:t xml:space="preserve">” In item 40, p11, of its submission Methanex lists a number of instances where it considers the GTAC </w:t>
            </w:r>
            <w:r w:rsidRPr="00103E46">
              <w:rPr>
                <w:rFonts w:cs="Tahoma"/>
                <w:lang w:val="en-AU"/>
              </w:rPr>
              <w:t xml:space="preserve">gas quality assurances </w:t>
            </w:r>
            <w:r>
              <w:rPr>
                <w:rFonts w:cs="Tahoma"/>
                <w:lang w:val="en-AU"/>
              </w:rPr>
              <w:t>are significantly less than those of the MPOC. This contrasts with the views of other submitters – eg Contact, Greymouth, MGUG and Todd – who agreed with the Preliminary Assessment that there would be “no noticeable change” in relation to gas quality.</w:t>
            </w:r>
          </w:p>
          <w:p w14:paraId="25A3AFC9" w14:textId="77777777" w:rsidR="005B5500" w:rsidRPr="005B5500" w:rsidRDefault="005B5500" w:rsidP="005B5500">
            <w:pPr>
              <w:spacing w:before="120" w:after="120"/>
              <w:rPr>
                <w:rFonts w:cs="Tahoma"/>
                <w:i/>
                <w:lang w:val="en-AU"/>
              </w:rPr>
            </w:pPr>
            <w:r w:rsidRPr="005B5500">
              <w:rPr>
                <w:rFonts w:cs="Tahoma"/>
                <w:i/>
                <w:lang w:val="en-AU"/>
              </w:rPr>
              <w:t>Do you consider that the Methanex is correct to say that the proposed arrangements would bring a substantive reduction in First Gas’ obligations to protect its customers for non-specification gas?</w:t>
            </w:r>
          </w:p>
        </w:tc>
      </w:tr>
      <w:tr w:rsidR="005B5500" w:rsidRPr="0017505B" w14:paraId="059DFB45" w14:textId="77777777" w:rsidTr="00C774D7">
        <w:trPr>
          <w:trHeight w:val="854"/>
        </w:trPr>
        <w:tc>
          <w:tcPr>
            <w:tcW w:w="563" w:type="pct"/>
          </w:tcPr>
          <w:p w14:paraId="4D2118D5" w14:textId="77777777" w:rsidR="005B5500" w:rsidRPr="0017505B" w:rsidRDefault="005B5500" w:rsidP="005B5500">
            <w:pPr>
              <w:spacing w:before="120" w:after="120"/>
              <w:jc w:val="right"/>
              <w:rPr>
                <w:rFonts w:cs="Tahoma"/>
                <w:lang w:val="en-AU"/>
              </w:rPr>
            </w:pPr>
          </w:p>
        </w:tc>
        <w:tc>
          <w:tcPr>
            <w:tcW w:w="4437" w:type="pct"/>
          </w:tcPr>
          <w:p w14:paraId="09C27F65"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42049623" w14:textId="77777777" w:rsidTr="00C774D7">
        <w:trPr>
          <w:trHeight w:val="854"/>
        </w:trPr>
        <w:tc>
          <w:tcPr>
            <w:tcW w:w="563" w:type="pct"/>
            <w:shd w:val="clear" w:color="auto" w:fill="DEEAF6" w:themeFill="accent1" w:themeFillTint="33"/>
          </w:tcPr>
          <w:p w14:paraId="18BD34AD" w14:textId="6740E5E8" w:rsidR="005B5500" w:rsidRPr="0017505B" w:rsidRDefault="005B5500" w:rsidP="00890C0C">
            <w:pPr>
              <w:spacing w:before="120" w:after="120"/>
              <w:jc w:val="right"/>
              <w:rPr>
                <w:rFonts w:cs="Tahoma"/>
                <w:lang w:val="en-AU"/>
              </w:rPr>
            </w:pPr>
            <w:r>
              <w:rPr>
                <w:rFonts w:cs="Tahoma"/>
                <w:lang w:val="en-AU"/>
              </w:rPr>
              <w:t>SQ1</w:t>
            </w:r>
            <w:r w:rsidR="00890C0C">
              <w:rPr>
                <w:rFonts w:cs="Tahoma"/>
                <w:lang w:val="en-AU"/>
              </w:rPr>
              <w:t>9</w:t>
            </w:r>
            <w:r>
              <w:rPr>
                <w:rFonts w:cs="Tahoma"/>
                <w:lang w:val="en-AU"/>
              </w:rPr>
              <w:t>:</w:t>
            </w:r>
          </w:p>
        </w:tc>
        <w:tc>
          <w:tcPr>
            <w:tcW w:w="4437" w:type="pct"/>
            <w:shd w:val="clear" w:color="auto" w:fill="DEEAF6" w:themeFill="accent1" w:themeFillTint="33"/>
          </w:tcPr>
          <w:p w14:paraId="2D9A8393" w14:textId="68BEA5E8" w:rsidR="005B5500" w:rsidRDefault="005B5500" w:rsidP="005B5500">
            <w:pPr>
              <w:spacing w:before="120" w:after="120"/>
              <w:rPr>
                <w:rFonts w:cs="Tahoma"/>
                <w:lang w:val="en-AU"/>
              </w:rPr>
            </w:pPr>
            <w:r w:rsidRPr="00103E46">
              <w:rPr>
                <w:rFonts w:cs="Tahoma"/>
                <w:lang w:val="en-AU"/>
              </w:rPr>
              <w:t xml:space="preserve">There are some strongly contrasting </w:t>
            </w:r>
            <w:r>
              <w:rPr>
                <w:rFonts w:cs="Tahoma"/>
                <w:lang w:val="en-AU"/>
              </w:rPr>
              <w:t xml:space="preserve">views on whether, if the Overrun (OR) and Underrun (UR) fees are balanced, the proposed level of OR/UR fees would still be a concern. </w:t>
            </w:r>
            <w:r w:rsidRPr="00103E46">
              <w:rPr>
                <w:rFonts w:cs="Tahoma"/>
                <w:lang w:val="en-AU"/>
              </w:rPr>
              <w:t xml:space="preserve">For example, </w:t>
            </w:r>
            <w:r>
              <w:rPr>
                <w:rFonts w:cs="Tahoma"/>
                <w:lang w:val="en-AU"/>
              </w:rPr>
              <w:t>Todd Q16, p8: “</w:t>
            </w:r>
            <w:r w:rsidRPr="00C758D9">
              <w:rPr>
                <w:rFonts w:cs="Tahoma"/>
                <w:lang w:val="en-AU"/>
              </w:rPr>
              <w:t>As noted above, the formula applied in t</w:t>
            </w:r>
            <w:r>
              <w:rPr>
                <w:rFonts w:cs="Tahoma"/>
                <w:lang w:val="en-AU"/>
              </w:rPr>
              <w:t>h</w:t>
            </w:r>
            <w:r w:rsidRPr="00C758D9">
              <w:rPr>
                <w:rFonts w:cs="Tahoma"/>
                <w:lang w:val="en-AU"/>
              </w:rPr>
              <w:t xml:space="preserve">e GTAC is incorrect. </w:t>
            </w:r>
            <w:r>
              <w:rPr>
                <w:rFonts w:cs="Tahoma"/>
                <w:lang w:val="en-AU"/>
              </w:rPr>
              <w:t>O</w:t>
            </w:r>
            <w:r w:rsidRPr="00C758D9">
              <w:rPr>
                <w:rFonts w:cs="Tahoma"/>
                <w:lang w:val="en-AU"/>
              </w:rPr>
              <w:t>nce corrected, and the value of F is no greater than 2, then these charges are much less (and probably one third less) than the levels projected by GIC because there would be no underrun fees applying. Many of the concerns about GTAC pricing would therefore fall away under this correction</w:t>
            </w:r>
            <w:r>
              <w:rPr>
                <w:rFonts w:cs="Tahoma"/>
                <w:lang w:val="en-AU"/>
              </w:rPr>
              <w:t>.” And, in contrast, Genesis Q16: “</w:t>
            </w:r>
            <w:r w:rsidRPr="00C758D9">
              <w:rPr>
                <w:rFonts w:cs="Tahoma"/>
                <w:lang w:val="en-AU"/>
              </w:rPr>
              <w:t>We are concerned the daily over and underrun charges will increase costs to serve the mass market, which will be exasperated by lower incentive pool rebates. This does not reflect the flexibility the transmission system has been designed to afford</w:t>
            </w:r>
            <w:r>
              <w:rPr>
                <w:rFonts w:cs="Tahoma"/>
                <w:lang w:val="en-AU"/>
              </w:rPr>
              <w:t>.”</w:t>
            </w:r>
          </w:p>
          <w:p w14:paraId="1BB6771F" w14:textId="77777777" w:rsidR="005B5500" w:rsidRPr="005B5500" w:rsidRDefault="005B5500" w:rsidP="005B5500">
            <w:pPr>
              <w:spacing w:before="120" w:after="120"/>
              <w:rPr>
                <w:rFonts w:cs="Tahoma"/>
                <w:i/>
                <w:lang w:val="en-AU"/>
              </w:rPr>
            </w:pPr>
            <w:r w:rsidRPr="005B5500">
              <w:rPr>
                <w:rFonts w:cs="Tahoma"/>
                <w:i/>
                <w:lang w:val="en-AU"/>
              </w:rPr>
              <w:t>Do you consider that, if the OR and UR fees are balanced, the proposed level of OR/UR fees would still be a concern and, if so, why?</w:t>
            </w:r>
          </w:p>
        </w:tc>
      </w:tr>
      <w:tr w:rsidR="005B5500" w:rsidRPr="0017505B" w14:paraId="3E00CCC8" w14:textId="77777777" w:rsidTr="00C774D7">
        <w:trPr>
          <w:trHeight w:val="854"/>
        </w:trPr>
        <w:tc>
          <w:tcPr>
            <w:tcW w:w="563" w:type="pct"/>
          </w:tcPr>
          <w:p w14:paraId="45008732" w14:textId="77777777" w:rsidR="005B5500" w:rsidRPr="0017505B" w:rsidRDefault="005B5500" w:rsidP="005B5500">
            <w:pPr>
              <w:spacing w:before="120" w:after="120"/>
              <w:jc w:val="right"/>
              <w:rPr>
                <w:rFonts w:cs="Tahoma"/>
                <w:lang w:val="en-AU"/>
              </w:rPr>
            </w:pPr>
          </w:p>
        </w:tc>
        <w:tc>
          <w:tcPr>
            <w:tcW w:w="4437" w:type="pct"/>
          </w:tcPr>
          <w:p w14:paraId="404F51C5"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335D3C73" w14:textId="77777777" w:rsidTr="00C774D7">
        <w:trPr>
          <w:trHeight w:val="854"/>
        </w:trPr>
        <w:tc>
          <w:tcPr>
            <w:tcW w:w="563" w:type="pct"/>
            <w:shd w:val="clear" w:color="auto" w:fill="DEEAF6" w:themeFill="accent1" w:themeFillTint="33"/>
          </w:tcPr>
          <w:p w14:paraId="3FBCE2CF" w14:textId="74EFA1B3" w:rsidR="005B5500" w:rsidRPr="0017505B" w:rsidRDefault="005B5500" w:rsidP="00890C0C">
            <w:pPr>
              <w:spacing w:before="120" w:after="120"/>
              <w:jc w:val="right"/>
              <w:rPr>
                <w:rFonts w:cs="Tahoma"/>
                <w:lang w:val="en-AU"/>
              </w:rPr>
            </w:pPr>
            <w:r>
              <w:rPr>
                <w:rFonts w:cs="Tahoma"/>
                <w:lang w:val="en-AU"/>
              </w:rPr>
              <w:t>SQ</w:t>
            </w:r>
            <w:r w:rsidR="00890C0C">
              <w:rPr>
                <w:rFonts w:cs="Tahoma"/>
                <w:lang w:val="en-AU"/>
              </w:rPr>
              <w:t>20</w:t>
            </w:r>
            <w:r>
              <w:rPr>
                <w:rFonts w:cs="Tahoma"/>
                <w:lang w:val="en-AU"/>
              </w:rPr>
              <w:t>:</w:t>
            </w:r>
          </w:p>
        </w:tc>
        <w:tc>
          <w:tcPr>
            <w:tcW w:w="4437" w:type="pct"/>
            <w:shd w:val="clear" w:color="auto" w:fill="DEEAF6" w:themeFill="accent1" w:themeFillTint="33"/>
          </w:tcPr>
          <w:p w14:paraId="4C55E3FC" w14:textId="281B49DD" w:rsidR="005B5500" w:rsidRDefault="005B5500" w:rsidP="005B5500">
            <w:pPr>
              <w:spacing w:before="120" w:after="120"/>
              <w:rPr>
                <w:rFonts w:cs="Tahoma"/>
                <w:lang w:val="en-AU"/>
              </w:rPr>
            </w:pPr>
            <w:r w:rsidRPr="00103E46">
              <w:rPr>
                <w:rFonts w:cs="Tahoma"/>
                <w:lang w:val="en-AU"/>
              </w:rPr>
              <w:t xml:space="preserve">There are some strongly contrasting </w:t>
            </w:r>
            <w:r>
              <w:rPr>
                <w:rFonts w:cs="Tahoma"/>
                <w:lang w:val="en-AU"/>
              </w:rPr>
              <w:t xml:space="preserve">views </w:t>
            </w:r>
            <w:r w:rsidR="00A567CD">
              <w:rPr>
                <w:rFonts w:cs="Tahoma"/>
                <w:lang w:val="en-AU"/>
              </w:rPr>
              <w:t>in relation to Priority Rights</w:t>
            </w:r>
            <w:r>
              <w:rPr>
                <w:rFonts w:cs="Tahoma"/>
                <w:lang w:val="en-AU"/>
              </w:rPr>
              <w:t xml:space="preserve">. </w:t>
            </w:r>
            <w:r w:rsidRPr="00103E46">
              <w:rPr>
                <w:rFonts w:cs="Tahoma"/>
                <w:lang w:val="en-AU"/>
              </w:rPr>
              <w:t>For example,</w:t>
            </w:r>
            <w:r>
              <w:rPr>
                <w:rFonts w:cs="Tahoma"/>
                <w:lang w:val="en-AU"/>
              </w:rPr>
              <w:t xml:space="preserve"> Trustpower 7.1.14, p7:</w:t>
            </w:r>
            <w:r w:rsidRPr="00103E46">
              <w:rPr>
                <w:rFonts w:cs="Tahoma"/>
                <w:lang w:val="en-AU"/>
              </w:rPr>
              <w:t xml:space="preserve"> </w:t>
            </w:r>
            <w:r w:rsidR="00A567CD">
              <w:rPr>
                <w:rFonts w:cs="Tahoma"/>
                <w:lang w:val="en-AU"/>
              </w:rPr>
              <w:t>“</w:t>
            </w:r>
            <w:r w:rsidRPr="00582E9E">
              <w:rPr>
                <w:rFonts w:cs="Tahoma"/>
                <w:lang w:val="en-AU"/>
              </w:rPr>
              <w:t>We are pleased GIC and other submitters recognise our concerns that: a) the PR auctions may not result in an efficient allocation of risk because if mass market shippers are unable to secure PRs in either the primary or secondary markets they have no effective means of reducing their demand. b)</w:t>
            </w:r>
            <w:r>
              <w:rPr>
                <w:rFonts w:cs="Tahoma"/>
                <w:lang w:val="en-AU"/>
              </w:rPr>
              <w:t xml:space="preserve"> </w:t>
            </w:r>
            <w:r w:rsidRPr="00582E9E">
              <w:rPr>
                <w:rFonts w:cs="Tahoma"/>
                <w:lang w:val="en-AU"/>
              </w:rPr>
              <w:t>it is also not fair that retailers may not be able to buy affordable PRs and so could become caught in a squeeze between their customers and the competing priorities of the network owner and/or other access seekers.</w:t>
            </w:r>
            <w:r>
              <w:rPr>
                <w:rFonts w:cs="Tahoma"/>
                <w:lang w:val="en-AU"/>
              </w:rPr>
              <w:t>”  And, in contrast, First Gas s4.2, p29: “</w:t>
            </w:r>
            <w:r w:rsidRPr="00582E9E">
              <w:rPr>
                <w:rFonts w:cs="Tahoma"/>
                <w:lang w:val="en-AU"/>
              </w:rPr>
              <w:t>While we acknowledge that mass market shippers cannot control</w:t>
            </w:r>
            <w:r>
              <w:rPr>
                <w:rFonts w:cs="Tahoma"/>
                <w:lang w:val="en-AU"/>
              </w:rPr>
              <w:t xml:space="preserve"> </w:t>
            </w:r>
            <w:r w:rsidRPr="00582E9E">
              <w:rPr>
                <w:rFonts w:cs="Tahoma"/>
                <w:lang w:val="en-AU"/>
              </w:rPr>
              <w:t>their customers’ demand, we do not believe that PRs are any more onerous than the existing codes. If a mass market shipper does not hold sufficient reserved capacity under the VTC then it will face overrun</w:t>
            </w:r>
            <w:r>
              <w:rPr>
                <w:rFonts w:cs="Tahoma"/>
                <w:lang w:val="en-AU"/>
              </w:rPr>
              <w:t xml:space="preserve"> </w:t>
            </w:r>
            <w:r w:rsidRPr="00582E9E">
              <w:rPr>
                <w:rFonts w:cs="Tahoma"/>
                <w:lang w:val="en-AU"/>
              </w:rPr>
              <w:t>charges and potential liabilities to other parties for loss</w:t>
            </w:r>
            <w:r>
              <w:rPr>
                <w:rFonts w:cs="Tahoma"/>
                <w:lang w:val="en-AU"/>
              </w:rPr>
              <w:t xml:space="preserve"> </w:t>
            </w:r>
            <w:r w:rsidRPr="00582E9E">
              <w:rPr>
                <w:rFonts w:cs="Tahoma"/>
                <w:lang w:val="en-AU"/>
              </w:rPr>
              <w:t>if gas cannot be delivered to everyone. If a mass market shipper does not hold PRs under the GTAC then it will face overrun</w:t>
            </w:r>
            <w:r>
              <w:rPr>
                <w:rFonts w:cs="Tahoma"/>
                <w:lang w:val="en-AU"/>
              </w:rPr>
              <w:t xml:space="preserve"> </w:t>
            </w:r>
            <w:r w:rsidRPr="00582E9E">
              <w:rPr>
                <w:rFonts w:cs="Tahoma"/>
                <w:lang w:val="en-AU"/>
              </w:rPr>
              <w:t>charges and potential liabilities to other parties for loss</w:t>
            </w:r>
            <w:r>
              <w:rPr>
                <w:rFonts w:cs="Tahoma"/>
                <w:lang w:val="en-AU"/>
              </w:rPr>
              <w:t xml:space="preserve"> </w:t>
            </w:r>
            <w:r w:rsidRPr="00582E9E">
              <w:rPr>
                <w:rFonts w:cs="Tahoma"/>
                <w:lang w:val="en-AU"/>
              </w:rPr>
              <w:t>if gas cannot be delivered to everyone.</w:t>
            </w:r>
            <w:r>
              <w:rPr>
                <w:rFonts w:cs="Tahoma"/>
                <w:lang w:val="en-AU"/>
              </w:rPr>
              <w:t xml:space="preserve"> </w:t>
            </w:r>
            <w:r w:rsidRPr="00582E9E">
              <w:rPr>
                <w:rFonts w:cs="Tahoma"/>
                <w:lang w:val="en-AU"/>
              </w:rPr>
              <w:t>The key difference</w:t>
            </w:r>
            <w:r>
              <w:rPr>
                <w:rFonts w:cs="Tahoma"/>
                <w:lang w:val="en-AU"/>
              </w:rPr>
              <w:t xml:space="preserve"> </w:t>
            </w:r>
            <w:r w:rsidRPr="00582E9E">
              <w:rPr>
                <w:rFonts w:cs="Tahoma"/>
                <w:lang w:val="en-AU"/>
              </w:rPr>
              <w:t>under the GTAC is in how the price of scarce capacity</w:t>
            </w:r>
            <w:r>
              <w:rPr>
                <w:rFonts w:cs="Tahoma"/>
                <w:lang w:val="en-AU"/>
              </w:rPr>
              <w:t xml:space="preserve"> </w:t>
            </w:r>
            <w:r w:rsidRPr="00582E9E">
              <w:rPr>
                <w:rFonts w:cs="Tahoma"/>
                <w:lang w:val="en-AU"/>
              </w:rPr>
              <w:t>is set –with the PR price</w:t>
            </w:r>
            <w:r>
              <w:rPr>
                <w:rFonts w:cs="Tahoma"/>
                <w:lang w:val="en-AU"/>
              </w:rPr>
              <w:t xml:space="preserve"> </w:t>
            </w:r>
            <w:r w:rsidRPr="00582E9E">
              <w:rPr>
                <w:rFonts w:cs="Tahoma"/>
                <w:lang w:val="en-AU"/>
              </w:rPr>
              <w:t>being set via an auction</w:t>
            </w:r>
            <w:r>
              <w:rPr>
                <w:rFonts w:cs="Tahoma"/>
                <w:lang w:val="en-AU"/>
              </w:rPr>
              <w:t>.”</w:t>
            </w:r>
          </w:p>
          <w:p w14:paraId="16180AA6" w14:textId="77777777" w:rsidR="005B5500" w:rsidRPr="005B5500" w:rsidRDefault="005B5500" w:rsidP="005B5500">
            <w:pPr>
              <w:spacing w:before="120" w:after="120"/>
              <w:rPr>
                <w:rFonts w:cs="Tahoma"/>
                <w:i/>
                <w:lang w:val="en-AU"/>
              </w:rPr>
            </w:pPr>
            <w:r w:rsidRPr="005B5500">
              <w:rPr>
                <w:rFonts w:cs="Tahoma"/>
                <w:i/>
                <w:lang w:val="en-AU"/>
              </w:rPr>
              <w:t>Do you consider that the Preliminary Assessment gives undue weight to concerns that, if mass</w:t>
            </w:r>
            <w:r>
              <w:rPr>
                <w:rFonts w:cs="Tahoma"/>
                <w:i/>
                <w:lang w:val="en-AU"/>
              </w:rPr>
              <w:t>-</w:t>
            </w:r>
            <w:r w:rsidRPr="005B5500">
              <w:rPr>
                <w:rFonts w:cs="Tahoma"/>
                <w:i/>
                <w:lang w:val="en-AU"/>
              </w:rPr>
              <w:t>market ﻿shippers may be unable to secure PRs, they have no effective means of reducing their demand?</w:t>
            </w:r>
          </w:p>
        </w:tc>
      </w:tr>
      <w:tr w:rsidR="005B5500" w:rsidRPr="0017505B" w14:paraId="02636A8F" w14:textId="77777777" w:rsidTr="00C774D7">
        <w:trPr>
          <w:trHeight w:val="854"/>
        </w:trPr>
        <w:tc>
          <w:tcPr>
            <w:tcW w:w="563" w:type="pct"/>
          </w:tcPr>
          <w:p w14:paraId="1AE4DFD2" w14:textId="77777777" w:rsidR="005B5500" w:rsidRPr="0017505B" w:rsidRDefault="005B5500" w:rsidP="005B5500">
            <w:pPr>
              <w:spacing w:before="120" w:after="120"/>
              <w:jc w:val="right"/>
              <w:rPr>
                <w:rFonts w:cs="Tahoma"/>
                <w:lang w:val="en-AU"/>
              </w:rPr>
            </w:pPr>
          </w:p>
        </w:tc>
        <w:tc>
          <w:tcPr>
            <w:tcW w:w="4437" w:type="pct"/>
          </w:tcPr>
          <w:p w14:paraId="596B3F2C"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5C13E544" w14:textId="77777777" w:rsidTr="00C774D7">
        <w:trPr>
          <w:trHeight w:val="854"/>
        </w:trPr>
        <w:tc>
          <w:tcPr>
            <w:tcW w:w="563" w:type="pct"/>
            <w:shd w:val="clear" w:color="auto" w:fill="DEEAF6" w:themeFill="accent1" w:themeFillTint="33"/>
          </w:tcPr>
          <w:p w14:paraId="3AFB8ED2" w14:textId="39ED6440" w:rsidR="005B5500" w:rsidRPr="0017505B" w:rsidRDefault="005B5500" w:rsidP="00890C0C">
            <w:pPr>
              <w:spacing w:before="120" w:after="120"/>
              <w:jc w:val="right"/>
              <w:rPr>
                <w:rFonts w:cs="Tahoma"/>
                <w:lang w:val="en-AU"/>
              </w:rPr>
            </w:pPr>
            <w:r>
              <w:rPr>
                <w:rFonts w:cs="Tahoma"/>
                <w:lang w:val="en-AU"/>
              </w:rPr>
              <w:t>SQ2</w:t>
            </w:r>
            <w:r w:rsidR="00890C0C">
              <w:rPr>
                <w:rFonts w:cs="Tahoma"/>
                <w:lang w:val="en-AU"/>
              </w:rPr>
              <w:t>1</w:t>
            </w:r>
            <w:r>
              <w:rPr>
                <w:rFonts w:cs="Tahoma"/>
                <w:lang w:val="en-AU"/>
              </w:rPr>
              <w:t>:</w:t>
            </w:r>
          </w:p>
        </w:tc>
        <w:tc>
          <w:tcPr>
            <w:tcW w:w="4437" w:type="pct"/>
            <w:shd w:val="clear" w:color="auto" w:fill="DEEAF6" w:themeFill="accent1" w:themeFillTint="33"/>
          </w:tcPr>
          <w:p w14:paraId="5FA2E1D6" w14:textId="77777777" w:rsidR="005B5500" w:rsidRDefault="005B5500" w:rsidP="005B5500">
            <w:pPr>
              <w:spacing w:before="120" w:after="120"/>
              <w:rPr>
                <w:rFonts w:cs="Tahoma"/>
                <w:lang w:val="en-AU"/>
              </w:rPr>
            </w:pPr>
            <w:r w:rsidRPr="00103E46">
              <w:rPr>
                <w:rFonts w:cs="Tahoma"/>
                <w:lang w:val="en-AU"/>
              </w:rPr>
              <w:t xml:space="preserve">There are some strongly contrasting </w:t>
            </w:r>
            <w:r>
              <w:rPr>
                <w:rFonts w:cs="Tahoma"/>
                <w:lang w:val="en-AU"/>
              </w:rPr>
              <w:t xml:space="preserve">views on whether the level of First Gas discretion is always appropriate. </w:t>
            </w:r>
            <w:r w:rsidRPr="00103E46">
              <w:rPr>
                <w:rFonts w:cs="Tahoma"/>
                <w:lang w:val="en-AU"/>
              </w:rPr>
              <w:t>For example,</w:t>
            </w:r>
            <w:r>
              <w:rPr>
                <w:rFonts w:cs="Tahoma"/>
                <w:lang w:val="en-AU"/>
              </w:rPr>
              <w:t xml:space="preserve"> Methanex Q22, p21: “</w:t>
            </w:r>
            <w:r w:rsidRPr="00ED1FED">
              <w:rPr>
                <w:rFonts w:cs="Tahoma"/>
                <w:lang w:val="en-AU"/>
              </w:rPr>
              <w:t xml:space="preserve">We strongly disagree that FGL discretion is appropriate or fair in regard to providing tailored Specific HDQ/DDQ allowances and we are generally concerned that GIC has not considered this as an area which, on efficiency and fairness grounds, is materially worse than the status quo. Further, we consider the rationale set out in GTAC of </w:t>
            </w:r>
            <w:r>
              <w:rPr>
                <w:rFonts w:cs="Tahoma"/>
                <w:lang w:val="en-AU"/>
              </w:rPr>
              <w:t>’</w:t>
            </w:r>
            <w:r w:rsidRPr="00ED1FED">
              <w:rPr>
                <w:rFonts w:cs="Tahoma"/>
                <w:lang w:val="en-AU"/>
              </w:rPr>
              <w:t>striking a balance</w:t>
            </w:r>
            <w:r>
              <w:rPr>
                <w:rFonts w:cs="Tahoma"/>
                <w:lang w:val="en-AU"/>
              </w:rPr>
              <w:t>’</w:t>
            </w:r>
            <w:r w:rsidRPr="00ED1FED">
              <w:rPr>
                <w:rFonts w:cs="Tahoma"/>
                <w:lang w:val="en-AU"/>
              </w:rPr>
              <w:t>, at FGL</w:t>
            </w:r>
            <w:r>
              <w:rPr>
                <w:rFonts w:cs="Tahoma"/>
                <w:lang w:val="en-AU"/>
              </w:rPr>
              <w:t>’</w:t>
            </w:r>
            <w:r w:rsidRPr="00ED1FED">
              <w:rPr>
                <w:rFonts w:cs="Tahoma"/>
                <w:lang w:val="en-AU"/>
              </w:rPr>
              <w:t>s discretion, between the proper operation of the pipeline system against the commercial requirements of particular end users to be entirely inappropriate.</w:t>
            </w:r>
            <w:r>
              <w:rPr>
                <w:rFonts w:cs="Tahoma"/>
                <w:lang w:val="en-AU"/>
              </w:rPr>
              <w:t>” And, in contrast, First Gas Q22, p45: “</w:t>
            </w:r>
            <w:r w:rsidRPr="00ED1FED">
              <w:rPr>
                <w:rFonts w:cs="Tahoma"/>
                <w:lang w:val="en-AU"/>
              </w:rPr>
              <w:t>We agree with the analysis of First Gas discretion. We believe that the areas of discretion identified strike the right balance for a transmission system operator.</w:t>
            </w:r>
            <w:r>
              <w:rPr>
                <w:rFonts w:cs="Tahoma"/>
                <w:lang w:val="en-AU"/>
              </w:rPr>
              <w:t>”</w:t>
            </w:r>
          </w:p>
          <w:p w14:paraId="06BEAD88" w14:textId="77777777" w:rsidR="005B5500" w:rsidRPr="005B5500" w:rsidRDefault="005B5500" w:rsidP="005B5500">
            <w:pPr>
              <w:spacing w:before="120" w:after="120"/>
              <w:rPr>
                <w:rFonts w:cs="Tahoma"/>
                <w:i/>
                <w:lang w:val="en-AU"/>
              </w:rPr>
            </w:pPr>
            <w:r w:rsidRPr="005B5500">
              <w:rPr>
                <w:rFonts w:cs="Tahoma"/>
                <w:i/>
                <w:lang w:val="en-AU"/>
              </w:rPr>
              <w:t xml:space="preserve">How have submitter views on First Gas discretion altered your opinion? </w:t>
            </w:r>
          </w:p>
        </w:tc>
      </w:tr>
      <w:tr w:rsidR="005B5500" w:rsidRPr="0017505B" w14:paraId="626769B2" w14:textId="77777777" w:rsidTr="00C774D7">
        <w:trPr>
          <w:trHeight w:val="854"/>
        </w:trPr>
        <w:tc>
          <w:tcPr>
            <w:tcW w:w="563" w:type="pct"/>
          </w:tcPr>
          <w:p w14:paraId="024F37A6" w14:textId="77777777" w:rsidR="005B5500" w:rsidRPr="0017505B" w:rsidRDefault="005B5500" w:rsidP="005B5500">
            <w:pPr>
              <w:spacing w:before="120" w:after="120"/>
              <w:jc w:val="right"/>
              <w:rPr>
                <w:rFonts w:cs="Tahoma"/>
                <w:lang w:val="en-AU"/>
              </w:rPr>
            </w:pPr>
          </w:p>
        </w:tc>
        <w:tc>
          <w:tcPr>
            <w:tcW w:w="4437" w:type="pct"/>
          </w:tcPr>
          <w:p w14:paraId="34169BE5" w14:textId="77777777" w:rsidR="005B5500" w:rsidRPr="0017505B" w:rsidRDefault="005B5500" w:rsidP="005B5500">
            <w:pPr>
              <w:spacing w:before="120" w:after="120"/>
              <w:rPr>
                <w:rFonts w:cs="Tahoma"/>
                <w:lang w:val="en-AU"/>
              </w:rPr>
            </w:pPr>
            <w:r>
              <w:rPr>
                <w:rFonts w:cs="Tahoma"/>
                <w:lang w:val="en-AU"/>
              </w:rPr>
              <w:t>Cross-submitter’s view:</w:t>
            </w:r>
          </w:p>
        </w:tc>
      </w:tr>
      <w:tr w:rsidR="005B5500" w:rsidRPr="0017505B" w14:paraId="6D74EF09" w14:textId="77777777" w:rsidTr="00C774D7">
        <w:trPr>
          <w:trHeight w:val="854"/>
        </w:trPr>
        <w:tc>
          <w:tcPr>
            <w:tcW w:w="563" w:type="pct"/>
            <w:shd w:val="clear" w:color="auto" w:fill="DEEAF6" w:themeFill="accent1" w:themeFillTint="33"/>
          </w:tcPr>
          <w:p w14:paraId="344EC9C6" w14:textId="632BB13B" w:rsidR="005B5500" w:rsidRPr="0017505B" w:rsidRDefault="005B5500" w:rsidP="00890C0C">
            <w:pPr>
              <w:spacing w:before="120" w:after="120"/>
              <w:jc w:val="right"/>
              <w:rPr>
                <w:rFonts w:cs="Tahoma"/>
                <w:lang w:val="en-AU"/>
              </w:rPr>
            </w:pPr>
            <w:r>
              <w:rPr>
                <w:rFonts w:cs="Tahoma"/>
                <w:lang w:val="en-AU"/>
              </w:rPr>
              <w:t>Q2</w:t>
            </w:r>
            <w:r w:rsidR="00890C0C">
              <w:rPr>
                <w:rFonts w:cs="Tahoma"/>
                <w:lang w:val="en-AU"/>
              </w:rPr>
              <w:t>2</w:t>
            </w:r>
            <w:r>
              <w:rPr>
                <w:rFonts w:cs="Tahoma"/>
                <w:lang w:val="en-AU"/>
              </w:rPr>
              <w:t>:</w:t>
            </w:r>
          </w:p>
        </w:tc>
        <w:tc>
          <w:tcPr>
            <w:tcW w:w="4437" w:type="pct"/>
            <w:shd w:val="clear" w:color="auto" w:fill="DEEAF6" w:themeFill="accent1" w:themeFillTint="33"/>
          </w:tcPr>
          <w:p w14:paraId="4D9F9149" w14:textId="77777777" w:rsidR="005B5500" w:rsidRDefault="005B5500" w:rsidP="005B5500">
            <w:pPr>
              <w:spacing w:before="120" w:after="120"/>
              <w:rPr>
                <w:rFonts w:cs="Tahoma"/>
                <w:lang w:val="en-AU"/>
              </w:rPr>
            </w:pPr>
            <w:r w:rsidRPr="00103E46">
              <w:rPr>
                <w:rFonts w:cs="Tahoma"/>
                <w:lang w:val="en-AU"/>
              </w:rPr>
              <w:t xml:space="preserve">There are some strongly contrasting </w:t>
            </w:r>
            <w:r>
              <w:rPr>
                <w:rFonts w:cs="Tahoma"/>
                <w:lang w:val="en-AU"/>
              </w:rPr>
              <w:t xml:space="preserve">views on whether the proposed arrangements will provide more transparency. </w:t>
            </w:r>
            <w:r w:rsidRPr="00103E46">
              <w:rPr>
                <w:rFonts w:cs="Tahoma"/>
                <w:lang w:val="en-AU"/>
              </w:rPr>
              <w:t>For example,</w:t>
            </w:r>
            <w:r>
              <w:rPr>
                <w:rFonts w:cs="Tahoma"/>
                <w:lang w:val="en-AU"/>
              </w:rPr>
              <w:t xml:space="preserve"> Shell Q23, p11: “</w:t>
            </w:r>
            <w:r w:rsidRPr="00272088">
              <w:rPr>
                <w:rFonts w:cs="Tahoma"/>
                <w:lang w:val="en-AU"/>
              </w:rPr>
              <w:t>In terms of the commitment to publish information, we agree that the GTAC is not as open as MPOC, to the extent that we consider that the GTAC is materially worse</w:t>
            </w:r>
            <w:r>
              <w:rPr>
                <w:rFonts w:cs="Tahoma"/>
                <w:lang w:val="en-AU"/>
              </w:rPr>
              <w:t xml:space="preserve"> </w:t>
            </w:r>
            <w:r w:rsidRPr="00272088">
              <w:rPr>
                <w:rFonts w:cs="Tahoma"/>
                <w:lang w:val="en-AU"/>
              </w:rPr>
              <w:t>than MPOC.</w:t>
            </w:r>
            <w:r>
              <w:rPr>
                <w:rFonts w:cs="Tahoma"/>
                <w:lang w:val="en-AU"/>
              </w:rPr>
              <w:t xml:space="preserve"> </w:t>
            </w:r>
            <w:r w:rsidRPr="00272088">
              <w:rPr>
                <w:rFonts w:cs="Tahoma"/>
                <w:lang w:val="en-AU"/>
              </w:rPr>
              <w:t>In contrast to MPOC, GTAC does not commit to publish in real time:</w:t>
            </w:r>
            <w:r>
              <w:rPr>
                <w:rFonts w:cs="Tahoma"/>
                <w:lang w:val="en-AU"/>
              </w:rPr>
              <w:t xml:space="preserve"> </w:t>
            </w:r>
            <w:r w:rsidRPr="00272088">
              <w:rPr>
                <w:rFonts w:cs="Tahoma"/>
                <w:lang w:val="en-AU"/>
              </w:rPr>
              <w:t>•The then-prevailing hourly Scheduled Quantity (SQ) established for each receipt or delivery point (or delivery zone in GTAC)</w:t>
            </w:r>
            <w:r>
              <w:rPr>
                <w:rFonts w:cs="Tahoma"/>
                <w:lang w:val="en-AU"/>
              </w:rPr>
              <w:t xml:space="preserve">; </w:t>
            </w:r>
            <w:r w:rsidRPr="00272088">
              <w:rPr>
                <w:rFonts w:cs="Tahoma"/>
                <w:lang w:val="en-AU"/>
              </w:rPr>
              <w:t>•The metering quantity for each hour at each receipt point or delivery point (or the aggregate delivery quantity in each delivery zone in GTAC);</w:t>
            </w:r>
            <w:r>
              <w:rPr>
                <w:rFonts w:cs="Tahoma"/>
                <w:lang w:val="en-AU"/>
              </w:rPr>
              <w:t xml:space="preserve"> </w:t>
            </w:r>
            <w:r w:rsidRPr="00272088">
              <w:rPr>
                <w:rFonts w:cs="Tahoma"/>
                <w:lang w:val="en-AU"/>
              </w:rPr>
              <w:t>•The imbalance between scheduled and actual flow at each major receipt or delivery point.</w:t>
            </w:r>
            <w:r>
              <w:rPr>
                <w:rFonts w:cs="Tahoma"/>
                <w:lang w:val="en-AU"/>
              </w:rPr>
              <w:t>“ And, in contrast, First Gas Q23, p45: “</w:t>
            </w:r>
            <w:r w:rsidRPr="00272088">
              <w:rPr>
                <w:rFonts w:cs="Tahoma"/>
                <w:lang w:val="en-AU"/>
              </w:rPr>
              <w:t>We believe that the publication of interconnection agreements is significantly more transparent than the current VTC.</w:t>
            </w:r>
            <w:r>
              <w:rPr>
                <w:rFonts w:cs="Tahoma"/>
                <w:lang w:val="en-AU"/>
              </w:rPr>
              <w:t xml:space="preserve"> </w:t>
            </w:r>
            <w:r w:rsidRPr="00272088">
              <w:rPr>
                <w:rFonts w:cs="Tahoma"/>
                <w:lang w:val="en-AU"/>
              </w:rPr>
              <w:t>Publication of running mismatch positions is more transparent than either current Code.</w:t>
            </w:r>
            <w:r>
              <w:rPr>
                <w:rFonts w:cs="Tahoma"/>
                <w:lang w:val="en-AU"/>
              </w:rPr>
              <w:t xml:space="preserve"> </w:t>
            </w:r>
            <w:r w:rsidRPr="00272088">
              <w:rPr>
                <w:rFonts w:cs="Tahoma"/>
                <w:lang w:val="en-AU"/>
              </w:rPr>
              <w:t>Moreover, changes suggested to publish reasons for</w:t>
            </w:r>
            <w:r>
              <w:rPr>
                <w:rFonts w:cs="Tahoma"/>
                <w:lang w:val="en-AU"/>
              </w:rPr>
              <w:t xml:space="preserve"> </w:t>
            </w:r>
            <w:r w:rsidRPr="00272088">
              <w:rPr>
                <w:rFonts w:cs="Tahoma"/>
                <w:lang w:val="en-AU"/>
              </w:rPr>
              <w:t>SAs will further increase transparency.</w:t>
            </w:r>
            <w:r>
              <w:rPr>
                <w:rFonts w:cs="Tahoma"/>
                <w:lang w:val="en-AU"/>
              </w:rPr>
              <w:t>”</w:t>
            </w:r>
          </w:p>
          <w:p w14:paraId="7D958DFC" w14:textId="77777777" w:rsidR="005B5500" w:rsidRPr="003969A8" w:rsidRDefault="005B5500" w:rsidP="005B5500">
            <w:pPr>
              <w:spacing w:before="120" w:after="120"/>
              <w:rPr>
                <w:rFonts w:cs="Tahoma"/>
                <w:i/>
                <w:lang w:val="en-AU"/>
              </w:rPr>
            </w:pPr>
            <w:r w:rsidRPr="003969A8">
              <w:rPr>
                <w:rFonts w:cs="Tahoma"/>
                <w:i/>
                <w:lang w:val="en-AU"/>
              </w:rPr>
              <w:t>In light of the submissions, how do you consider the proposed arrangements compare in relation to transparency to the current arrangements?</w:t>
            </w:r>
          </w:p>
        </w:tc>
      </w:tr>
      <w:tr w:rsidR="005B5500" w:rsidRPr="0017505B" w14:paraId="55A1B61D" w14:textId="77777777" w:rsidTr="00C774D7">
        <w:trPr>
          <w:trHeight w:val="854"/>
        </w:trPr>
        <w:tc>
          <w:tcPr>
            <w:tcW w:w="563" w:type="pct"/>
          </w:tcPr>
          <w:p w14:paraId="3A031B17" w14:textId="77777777" w:rsidR="005B5500" w:rsidRPr="0017505B" w:rsidRDefault="005B5500" w:rsidP="005B5500">
            <w:pPr>
              <w:spacing w:before="120" w:after="120"/>
              <w:jc w:val="right"/>
              <w:rPr>
                <w:rFonts w:cs="Tahoma"/>
                <w:lang w:val="en-AU"/>
              </w:rPr>
            </w:pPr>
          </w:p>
        </w:tc>
        <w:tc>
          <w:tcPr>
            <w:tcW w:w="4437" w:type="pct"/>
          </w:tcPr>
          <w:p w14:paraId="24330DB6" w14:textId="77777777" w:rsidR="005B5500" w:rsidRPr="0017505B" w:rsidRDefault="005B5500" w:rsidP="005B5500">
            <w:pPr>
              <w:spacing w:before="120" w:after="120"/>
              <w:rPr>
                <w:rFonts w:cs="Tahoma"/>
                <w:lang w:val="en-AU"/>
              </w:rPr>
            </w:pPr>
            <w:r>
              <w:rPr>
                <w:rFonts w:cs="Tahoma"/>
                <w:lang w:val="en-AU"/>
              </w:rPr>
              <w:t>Cross-submitter’s view:</w:t>
            </w:r>
          </w:p>
        </w:tc>
      </w:tr>
    </w:tbl>
    <w:p w14:paraId="37D45CD0" w14:textId="77777777" w:rsidR="002F3A59" w:rsidRDefault="002F3A59" w:rsidP="002F3A59">
      <w:pPr>
        <w:pStyle w:val="BodyText"/>
      </w:pPr>
    </w:p>
    <w:p w14:paraId="68F96F14" w14:textId="77777777" w:rsidR="00FB2E17" w:rsidRPr="006428D9" w:rsidRDefault="00FB2E17" w:rsidP="005F7D84">
      <w:pPr>
        <w:pStyle w:val="BodyText"/>
      </w:pPr>
    </w:p>
    <w:sectPr w:rsidR="00FB2E17" w:rsidRPr="006428D9" w:rsidSect="00B86B4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F945C" w14:textId="77777777" w:rsidR="002F3A59" w:rsidRDefault="002F3A59" w:rsidP="009B70F5">
      <w:r>
        <w:separator/>
      </w:r>
    </w:p>
  </w:endnote>
  <w:endnote w:type="continuationSeparator" w:id="0">
    <w:p w14:paraId="6F28A342" w14:textId="77777777" w:rsidR="002F3A59" w:rsidRDefault="002F3A59" w:rsidP="009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ADF0" w14:textId="77777777" w:rsidR="00E94DC5" w:rsidRDefault="00E94DC5">
    <w:pPr>
      <w:pStyle w:val="Footer"/>
    </w:pPr>
    <w:r>
      <w:fldChar w:fldCharType="begin"/>
    </w:r>
    <w:r>
      <w:instrText xml:space="preserve"> PAGE   \* MERGEFORMAT </w:instrText>
    </w:r>
    <w:r>
      <w:fldChar w:fldCharType="separate"/>
    </w:r>
    <w:r w:rsidR="00C6661D">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04059" w14:textId="77777777" w:rsidR="002F3A59" w:rsidRDefault="002F3A59" w:rsidP="009B70F5">
      <w:r>
        <w:separator/>
      </w:r>
    </w:p>
  </w:footnote>
  <w:footnote w:type="continuationSeparator" w:id="0">
    <w:p w14:paraId="2F528698" w14:textId="77777777" w:rsidR="002F3A59" w:rsidRDefault="002F3A59" w:rsidP="009B7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ADBEBD"/>
    <w:multiLevelType w:val="hybridMultilevel"/>
    <w:tmpl w:val="3B0EB8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09397"/>
    <w:multiLevelType w:val="hybridMultilevel"/>
    <w:tmpl w:val="9E4318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2532F8"/>
    <w:multiLevelType w:val="hybridMultilevel"/>
    <w:tmpl w:val="882048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4"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5"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6"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6E86FE5"/>
    <w:multiLevelType w:val="multilevel"/>
    <w:tmpl w:val="1D80FD6A"/>
    <w:styleLink w:val="3LevelList"/>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8"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28577F"/>
    <w:multiLevelType w:val="hybridMultilevel"/>
    <w:tmpl w:val="422B4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3" w15:restartNumberingAfterBreak="0">
    <w:nsid w:val="4D6B5A47"/>
    <w:multiLevelType w:val="hybridMultilevel"/>
    <w:tmpl w:val="FC2A7ED2"/>
    <w:lvl w:ilvl="0" w:tplc="41D276CA">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F078B"/>
    <w:multiLevelType w:val="multilevel"/>
    <w:tmpl w:val="23CCBF48"/>
    <w:styleLink w:val="LISTzABC"/>
    <w:lvl w:ilvl="0">
      <w:start w:val="1"/>
      <w:numFmt w:val="decimal"/>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6" w15:restartNumberingAfterBreak="0">
    <w:nsid w:val="66E5286A"/>
    <w:multiLevelType w:val="multilevel"/>
    <w:tmpl w:val="23CCBF48"/>
    <w:numStyleLink w:val="LISTzABC"/>
  </w:abstractNum>
  <w:abstractNum w:abstractNumId="17"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8" w15:restartNumberingAfterBreak="0">
    <w:nsid w:val="6F514A2C"/>
    <w:multiLevelType w:val="multilevel"/>
    <w:tmpl w:val="1D80FD6A"/>
    <w:numStyleLink w:val="3LevelList"/>
  </w:abstractNum>
  <w:abstractNum w:abstractNumId="19"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0"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19"/>
  </w:num>
  <w:num w:numId="3">
    <w:abstractNumId w:val="13"/>
  </w:num>
  <w:num w:numId="4">
    <w:abstractNumId w:val="12"/>
  </w:num>
  <w:num w:numId="5">
    <w:abstractNumId w:val="15"/>
  </w:num>
  <w:num w:numId="6">
    <w:abstractNumId w:val="9"/>
  </w:num>
  <w:num w:numId="7">
    <w:abstractNumId w:val="10"/>
  </w:num>
  <w:num w:numId="8">
    <w:abstractNumId w:val="4"/>
  </w:num>
  <w:num w:numId="9">
    <w:abstractNumId w:val="5"/>
  </w:num>
  <w:num w:numId="10">
    <w:abstractNumId w:val="6"/>
  </w:num>
  <w:num w:numId="11">
    <w:abstractNumId w:val="4"/>
  </w:num>
  <w:num w:numId="12">
    <w:abstractNumId w:val="3"/>
  </w:num>
  <w:num w:numId="13">
    <w:abstractNumId w:val="20"/>
  </w:num>
  <w:num w:numId="14">
    <w:abstractNumId w:val="3"/>
  </w:num>
  <w:num w:numId="15">
    <w:abstractNumId w:val="20"/>
  </w:num>
  <w:num w:numId="16">
    <w:abstractNumId w:val="8"/>
  </w:num>
  <w:num w:numId="17">
    <w:abstractNumId w:val="14"/>
  </w:num>
  <w:num w:numId="18">
    <w:abstractNumId w:val="16"/>
  </w:num>
  <w:num w:numId="19">
    <w:abstractNumId w:val="7"/>
  </w:num>
  <w:num w:numId="20">
    <w:abstractNumId w:val="7"/>
  </w:num>
  <w:num w:numId="21">
    <w:abstractNumId w:val="18"/>
  </w:num>
  <w:num w:numId="22">
    <w:abstractNumId w:val="5"/>
  </w:num>
  <w:num w:numId="23">
    <w:abstractNumId w:val="5"/>
  </w:num>
  <w:num w:numId="24">
    <w:abstractNumId w:val="5"/>
  </w:num>
  <w:num w:numId="25">
    <w:abstractNumId w:val="3"/>
  </w:num>
  <w:num w:numId="26">
    <w:abstractNumId w:val="8"/>
  </w:num>
  <w:num w:numId="27">
    <w:abstractNumId w:val="2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2"/>
  </w:num>
  <w:num w:numId="35">
    <w:abstractNumId w:val="11"/>
  </w:num>
  <w:num w:numId="36">
    <w:abstractNumId w:val="1"/>
  </w:num>
  <w:num w:numId="3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59"/>
    <w:rsid w:val="000013E7"/>
    <w:rsid w:val="00002521"/>
    <w:rsid w:val="00004968"/>
    <w:rsid w:val="000054C7"/>
    <w:rsid w:val="00005523"/>
    <w:rsid w:val="00014571"/>
    <w:rsid w:val="000439F5"/>
    <w:rsid w:val="000534BB"/>
    <w:rsid w:val="00054095"/>
    <w:rsid w:val="000B323E"/>
    <w:rsid w:val="000B699C"/>
    <w:rsid w:val="000B768B"/>
    <w:rsid w:val="000C1E3F"/>
    <w:rsid w:val="000C6453"/>
    <w:rsid w:val="000F28EA"/>
    <w:rsid w:val="00103E46"/>
    <w:rsid w:val="00115B20"/>
    <w:rsid w:val="00131B3C"/>
    <w:rsid w:val="00151565"/>
    <w:rsid w:val="0017505B"/>
    <w:rsid w:val="00183AFF"/>
    <w:rsid w:val="00184657"/>
    <w:rsid w:val="001931B8"/>
    <w:rsid w:val="001A5F9F"/>
    <w:rsid w:val="001B72AC"/>
    <w:rsid w:val="001D368F"/>
    <w:rsid w:val="001D7A18"/>
    <w:rsid w:val="001E33F9"/>
    <w:rsid w:val="001E3A2E"/>
    <w:rsid w:val="001F584E"/>
    <w:rsid w:val="0020300F"/>
    <w:rsid w:val="00204364"/>
    <w:rsid w:val="00251D00"/>
    <w:rsid w:val="0026608D"/>
    <w:rsid w:val="00272088"/>
    <w:rsid w:val="00273DC2"/>
    <w:rsid w:val="00275AFC"/>
    <w:rsid w:val="00283768"/>
    <w:rsid w:val="002961E0"/>
    <w:rsid w:val="002D216D"/>
    <w:rsid w:val="002F3A59"/>
    <w:rsid w:val="00301180"/>
    <w:rsid w:val="00336DE5"/>
    <w:rsid w:val="00341945"/>
    <w:rsid w:val="00344028"/>
    <w:rsid w:val="003763CD"/>
    <w:rsid w:val="00380356"/>
    <w:rsid w:val="003819C2"/>
    <w:rsid w:val="00386573"/>
    <w:rsid w:val="003960F9"/>
    <w:rsid w:val="003966D7"/>
    <w:rsid w:val="003969A8"/>
    <w:rsid w:val="003B0A10"/>
    <w:rsid w:val="003D6DD7"/>
    <w:rsid w:val="003F6868"/>
    <w:rsid w:val="004026FB"/>
    <w:rsid w:val="00420234"/>
    <w:rsid w:val="00420979"/>
    <w:rsid w:val="00423A06"/>
    <w:rsid w:val="00457685"/>
    <w:rsid w:val="00461A17"/>
    <w:rsid w:val="004834D4"/>
    <w:rsid w:val="00492815"/>
    <w:rsid w:val="004A0B07"/>
    <w:rsid w:val="004A625A"/>
    <w:rsid w:val="004B284C"/>
    <w:rsid w:val="004C13D7"/>
    <w:rsid w:val="004E1575"/>
    <w:rsid w:val="004F746C"/>
    <w:rsid w:val="0050628C"/>
    <w:rsid w:val="00506BFD"/>
    <w:rsid w:val="0051469F"/>
    <w:rsid w:val="0053295C"/>
    <w:rsid w:val="00563DC7"/>
    <w:rsid w:val="00573D94"/>
    <w:rsid w:val="00577A16"/>
    <w:rsid w:val="00582E9E"/>
    <w:rsid w:val="005859C8"/>
    <w:rsid w:val="00587A71"/>
    <w:rsid w:val="005B5500"/>
    <w:rsid w:val="005B62ED"/>
    <w:rsid w:val="005D76D8"/>
    <w:rsid w:val="005E576E"/>
    <w:rsid w:val="005F0CF7"/>
    <w:rsid w:val="005F79EF"/>
    <w:rsid w:val="005F7D84"/>
    <w:rsid w:val="006100E2"/>
    <w:rsid w:val="00635F5A"/>
    <w:rsid w:val="006371BA"/>
    <w:rsid w:val="006428D9"/>
    <w:rsid w:val="00686E5E"/>
    <w:rsid w:val="0069661A"/>
    <w:rsid w:val="006A2A94"/>
    <w:rsid w:val="006B23F3"/>
    <w:rsid w:val="006C0B22"/>
    <w:rsid w:val="006C4465"/>
    <w:rsid w:val="006D0357"/>
    <w:rsid w:val="006E0BA3"/>
    <w:rsid w:val="006E2CF7"/>
    <w:rsid w:val="006E2D35"/>
    <w:rsid w:val="00710B68"/>
    <w:rsid w:val="0071166B"/>
    <w:rsid w:val="00723475"/>
    <w:rsid w:val="00726149"/>
    <w:rsid w:val="007639F6"/>
    <w:rsid w:val="007767C7"/>
    <w:rsid w:val="007952AC"/>
    <w:rsid w:val="007D7652"/>
    <w:rsid w:val="007E4C0A"/>
    <w:rsid w:val="007F358B"/>
    <w:rsid w:val="00807F44"/>
    <w:rsid w:val="008117BA"/>
    <w:rsid w:val="00814688"/>
    <w:rsid w:val="00827CAD"/>
    <w:rsid w:val="008646E3"/>
    <w:rsid w:val="00865341"/>
    <w:rsid w:val="00881DAB"/>
    <w:rsid w:val="00890626"/>
    <w:rsid w:val="00890C0C"/>
    <w:rsid w:val="00891159"/>
    <w:rsid w:val="008A4A07"/>
    <w:rsid w:val="008A60FB"/>
    <w:rsid w:val="008A6634"/>
    <w:rsid w:val="008B0448"/>
    <w:rsid w:val="008D39AF"/>
    <w:rsid w:val="008F0D49"/>
    <w:rsid w:val="0090202B"/>
    <w:rsid w:val="00915D77"/>
    <w:rsid w:val="00922ABB"/>
    <w:rsid w:val="00923F53"/>
    <w:rsid w:val="00937A4C"/>
    <w:rsid w:val="00941CAF"/>
    <w:rsid w:val="00956B2F"/>
    <w:rsid w:val="00964CEA"/>
    <w:rsid w:val="009726C3"/>
    <w:rsid w:val="00977D74"/>
    <w:rsid w:val="009802C7"/>
    <w:rsid w:val="009979F8"/>
    <w:rsid w:val="00997A34"/>
    <w:rsid w:val="009A767D"/>
    <w:rsid w:val="009B70F5"/>
    <w:rsid w:val="009C74DE"/>
    <w:rsid w:val="009D5062"/>
    <w:rsid w:val="00A143CF"/>
    <w:rsid w:val="00A17AE9"/>
    <w:rsid w:val="00A44D05"/>
    <w:rsid w:val="00A567CD"/>
    <w:rsid w:val="00A66506"/>
    <w:rsid w:val="00A86FB6"/>
    <w:rsid w:val="00AA3E89"/>
    <w:rsid w:val="00AA410D"/>
    <w:rsid w:val="00AB5534"/>
    <w:rsid w:val="00AB6C4F"/>
    <w:rsid w:val="00AE4779"/>
    <w:rsid w:val="00AF3EA7"/>
    <w:rsid w:val="00B10E3F"/>
    <w:rsid w:val="00B10EDB"/>
    <w:rsid w:val="00B11BBE"/>
    <w:rsid w:val="00B26D17"/>
    <w:rsid w:val="00B367DB"/>
    <w:rsid w:val="00B36B19"/>
    <w:rsid w:val="00B37DF8"/>
    <w:rsid w:val="00B65E59"/>
    <w:rsid w:val="00B73C15"/>
    <w:rsid w:val="00B85382"/>
    <w:rsid w:val="00B86142"/>
    <w:rsid w:val="00B86B47"/>
    <w:rsid w:val="00B929F7"/>
    <w:rsid w:val="00BA4DBF"/>
    <w:rsid w:val="00BB684B"/>
    <w:rsid w:val="00BE74A6"/>
    <w:rsid w:val="00BE7A01"/>
    <w:rsid w:val="00C07EDD"/>
    <w:rsid w:val="00C1472D"/>
    <w:rsid w:val="00C30AEE"/>
    <w:rsid w:val="00C43A0F"/>
    <w:rsid w:val="00C51B8B"/>
    <w:rsid w:val="00C57A6A"/>
    <w:rsid w:val="00C60DEE"/>
    <w:rsid w:val="00C6661D"/>
    <w:rsid w:val="00C758D9"/>
    <w:rsid w:val="00C774D7"/>
    <w:rsid w:val="00C84D0C"/>
    <w:rsid w:val="00CA4113"/>
    <w:rsid w:val="00CD4BB2"/>
    <w:rsid w:val="00D004A9"/>
    <w:rsid w:val="00D012D4"/>
    <w:rsid w:val="00D106D2"/>
    <w:rsid w:val="00D1280E"/>
    <w:rsid w:val="00D21616"/>
    <w:rsid w:val="00D2544E"/>
    <w:rsid w:val="00D27946"/>
    <w:rsid w:val="00D3224A"/>
    <w:rsid w:val="00D40D11"/>
    <w:rsid w:val="00D52448"/>
    <w:rsid w:val="00D55D11"/>
    <w:rsid w:val="00D57C15"/>
    <w:rsid w:val="00D73DAF"/>
    <w:rsid w:val="00D81AD3"/>
    <w:rsid w:val="00D87B04"/>
    <w:rsid w:val="00DA5A24"/>
    <w:rsid w:val="00DE2D88"/>
    <w:rsid w:val="00DE3D52"/>
    <w:rsid w:val="00E621FF"/>
    <w:rsid w:val="00E7005D"/>
    <w:rsid w:val="00E85910"/>
    <w:rsid w:val="00E92D0A"/>
    <w:rsid w:val="00E94DC5"/>
    <w:rsid w:val="00EA4E20"/>
    <w:rsid w:val="00ED1FED"/>
    <w:rsid w:val="00ED2131"/>
    <w:rsid w:val="00EE1C63"/>
    <w:rsid w:val="00EE3CEA"/>
    <w:rsid w:val="00EE3E42"/>
    <w:rsid w:val="00EF156F"/>
    <w:rsid w:val="00EF2EAB"/>
    <w:rsid w:val="00F105C6"/>
    <w:rsid w:val="00F17000"/>
    <w:rsid w:val="00F20BED"/>
    <w:rsid w:val="00F45CF1"/>
    <w:rsid w:val="00F55C48"/>
    <w:rsid w:val="00F71B07"/>
    <w:rsid w:val="00F82A5D"/>
    <w:rsid w:val="00F9632E"/>
    <w:rsid w:val="00FA128E"/>
    <w:rsid w:val="00FA79F7"/>
    <w:rsid w:val="00FB2E17"/>
    <w:rsid w:val="00FC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159869"/>
  <w15:chartTrackingRefBased/>
  <w15:docId w15:val="{DFEE62F1-77F3-405D-85B6-643203B1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5" w:line="22" w:lineRule="auto"/>
      </w:pPr>
    </w:pPrDefault>
  </w:docDefaults>
  <w:latentStyles w:defLockedState="1" w:defUIPriority="99" w:defSemiHidden="0" w:defUnhideWhenUsed="0" w:defQFormat="0" w:count="371">
    <w:lsdException w:name="Normal" w:locked="0" w:uiPriority="5"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uiPriority="9"/>
    <w:lsdException w:name="heading 7" w:locked="0" w:unhideWhenUsed="1" w:qFormat="1"/>
    <w:lsdException w:name="heading 8" w:locked="0" w:semiHidden="1" w:uiPriority="2"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lsdException w:name="toc 7" w:locked="0" w:semiHidden="1"/>
    <w:lsdException w:name="toc 8" w:locked="0" w:semiHidden="1"/>
    <w:lsdException w:name="toc 9" w:locked="0" w:semiHidden="1"/>
    <w:lsdException w:name="Normal Indent" w:semiHidden="1"/>
    <w:lsdException w:name="footnote text" w:locked="0" w:semiHidden="1" w:unhideWhenUsed="1" w:qFormat="1"/>
    <w:lsdException w:name="annotation text" w:semiHidden="1"/>
    <w:lsdException w:name="header" w:locked="0" w:semiHidden="1" w:unhideWhenUsed="1"/>
    <w:lsdException w:name="footer" w:locked="0" w:semiHidden="1" w:unhideWhenUsed="1"/>
    <w:lsdException w:name="index heading" w:semiHidden="1"/>
    <w:lsdException w:name="caption" w:locked="0" w:semiHidden="1" w:unhideWhenUsed="1"/>
    <w:lsdException w:name="table of figures" w:locked="0" w:semiHidden="1"/>
    <w:lsdException w:name="envelope address" w:semiHidden="1"/>
    <w:lsdException w:name="envelope return" w:semiHidden="1"/>
    <w:lsdException w:name="footnote reference" w:locked="0" w:semiHidden="1" w:unhideWhenUsed="1" w:qFormat="1"/>
    <w:lsdException w:name="annotation reference" w:semiHidden="1"/>
    <w:lsdException w:name="line number"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locked="0" w:semiHidden="1" w:uiPriority="5" w:unhideWhenUsed="1" w:qFormat="1"/>
    <w:lsdException w:name="Body Text Indent" w:locked="0" w:semiHidden="1" w:unhideWhenUsed="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unhideWhenUsed="1"/>
    <w:lsdException w:name="FollowedHyperlink" w:locked="0" w:semiHidden="1"/>
    <w:lsdException w:name="Strong" w:semiHidden="1"/>
    <w:lsdException w:name="Emphasis" w:semiHidden="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locked="0"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rsid w:val="002F3A59"/>
    <w:pPr>
      <w:spacing w:after="0" w:line="240" w:lineRule="atLeast"/>
    </w:pPr>
    <w:rPr>
      <w:rFonts w:ascii="Tahoma" w:hAnsi="Tahoma"/>
      <w:sz w:val="21"/>
      <w:lang w:val="en-NZ"/>
    </w:rPr>
  </w:style>
  <w:style w:type="paragraph" w:styleId="Heading1">
    <w:name w:val="heading 1"/>
    <w:basedOn w:val="Normal"/>
    <w:next w:val="BodyText"/>
    <w:link w:val="Heading1Char"/>
    <w:uiPriority w:val="1"/>
    <w:qFormat/>
    <w:rsid w:val="00814688"/>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qFormat/>
    <w:rsid w:val="00814688"/>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qFormat/>
    <w:rsid w:val="00814688"/>
    <w:pPr>
      <w:keepNext/>
      <w:spacing w:before="170" w:after="57"/>
      <w:outlineLvl w:val="2"/>
    </w:pPr>
    <w:rPr>
      <w:rFonts w:eastAsiaTheme="majorEastAsia" w:cstheme="majorBidi"/>
      <w:b/>
      <w:szCs w:val="24"/>
    </w:rPr>
  </w:style>
  <w:style w:type="paragraph" w:styleId="Heading4">
    <w:name w:val="heading 4"/>
    <w:aliases w:val="1. Section"/>
    <w:basedOn w:val="Normal"/>
    <w:next w:val="BodyText"/>
    <w:link w:val="Heading4Char"/>
    <w:qFormat/>
    <w:rsid w:val="000013E7"/>
    <w:pPr>
      <w:keepNext/>
      <w:pageBreakBefore/>
      <w:numPr>
        <w:numId w:val="10"/>
      </w:numPr>
      <w:spacing w:before="227" w:after="170" w:line="240" w:lineRule="auto"/>
      <w:outlineLvl w:val="3"/>
    </w:pPr>
    <w:rPr>
      <w:rFonts w:eastAsiaTheme="majorEastAsia" w:cstheme="majorBidi"/>
      <w:iCs/>
      <w:color w:val="589199"/>
      <w:sz w:val="42"/>
    </w:rPr>
  </w:style>
  <w:style w:type="paragraph" w:styleId="Heading5">
    <w:name w:val="heading 5"/>
    <w:aliases w:val="1.1 Section"/>
    <w:basedOn w:val="Normal"/>
    <w:next w:val="Normal"/>
    <w:link w:val="Heading5Char"/>
    <w:qFormat/>
    <w:rsid w:val="000013E7"/>
    <w:pPr>
      <w:keepNext/>
      <w:numPr>
        <w:ilvl w:val="1"/>
        <w:numId w:val="10"/>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CD4BB2"/>
    <w:pPr>
      <w:keepNext/>
      <w:keepLines/>
      <w:numPr>
        <w:ilvl w:val="2"/>
        <w:numId w:val="7"/>
      </w:numPr>
      <w:spacing w:before="57" w:after="57" w:line="280" w:lineRule="atLeast"/>
      <w:outlineLvl w:val="5"/>
    </w:pPr>
    <w:rPr>
      <w:rFonts w:eastAsiaTheme="majorEastAsia" w:cstheme="majorBidi"/>
      <w:b/>
    </w:rPr>
  </w:style>
  <w:style w:type="paragraph" w:styleId="Heading7">
    <w:name w:val="heading 7"/>
    <w:aliases w:val="Appendix"/>
    <w:basedOn w:val="Normal"/>
    <w:next w:val="BodyText"/>
    <w:link w:val="Heading7Char"/>
    <w:uiPriority w:val="2"/>
    <w:rsid w:val="006E2D35"/>
    <w:pPr>
      <w:keepNext/>
      <w:keepLines/>
      <w:pageBreakBefore/>
      <w:numPr>
        <w:numId w:val="1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Normal"/>
    <w:link w:val="Heading8Char"/>
    <w:uiPriority w:val="2"/>
    <w:rsid w:val="0050628C"/>
    <w:pPr>
      <w:outlineLvl w:val="7"/>
    </w:pPr>
    <w:rPr>
      <w:szCs w:val="20"/>
    </w:rPr>
  </w:style>
  <w:style w:type="paragraph" w:styleId="Heading9">
    <w:name w:val="heading 9"/>
    <w:basedOn w:val="Normal"/>
    <w:next w:val="Normal"/>
    <w:link w:val="Heading9Char"/>
    <w:uiPriority w:val="99"/>
    <w:semiHidden/>
    <w:rsid w:val="00F20BED"/>
    <w:pPr>
      <w:spacing w:line="280" w:lineRule="atLeast"/>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E20"/>
    <w:rPr>
      <w:rFonts w:ascii="Tahoma" w:eastAsiaTheme="majorEastAsia" w:hAnsi="Tahoma" w:cstheme="majorBidi"/>
      <w:color w:val="589199"/>
      <w:sz w:val="42"/>
      <w:szCs w:val="32"/>
      <w:lang w:val="en-NZ"/>
    </w:rPr>
  </w:style>
  <w:style w:type="character" w:customStyle="1" w:styleId="Heading2Char">
    <w:name w:val="Heading 2 Char"/>
    <w:basedOn w:val="DefaultParagraphFont"/>
    <w:link w:val="Heading2"/>
    <w:uiPriority w:val="1"/>
    <w:rsid w:val="00EA4E20"/>
    <w:rPr>
      <w:rFonts w:ascii="Tahoma" w:eastAsiaTheme="majorEastAsia" w:hAnsi="Tahoma" w:cstheme="majorBidi"/>
      <w:b/>
      <w:color w:val="589199"/>
      <w:sz w:val="24"/>
      <w:szCs w:val="26"/>
      <w:lang w:val="en-NZ"/>
    </w:rPr>
  </w:style>
  <w:style w:type="character" w:customStyle="1" w:styleId="Heading3Char">
    <w:name w:val="Heading 3 Char"/>
    <w:basedOn w:val="DefaultParagraphFont"/>
    <w:link w:val="Heading3"/>
    <w:uiPriority w:val="1"/>
    <w:rsid w:val="00EA4E20"/>
    <w:rPr>
      <w:rFonts w:ascii="Tahoma" w:eastAsiaTheme="majorEastAsia" w:hAnsi="Tahoma" w:cstheme="majorBidi"/>
      <w:b/>
      <w:sz w:val="21"/>
      <w:szCs w:val="24"/>
      <w:lang w:val="en-NZ"/>
    </w:rPr>
  </w:style>
  <w:style w:type="character" w:customStyle="1" w:styleId="Heading4Char">
    <w:name w:val="Heading 4 Char"/>
    <w:aliases w:val="1. Section Char"/>
    <w:basedOn w:val="DefaultParagraphFont"/>
    <w:link w:val="Heading4"/>
    <w:rsid w:val="004026FB"/>
    <w:rPr>
      <w:rFonts w:ascii="Tahoma" w:eastAsiaTheme="majorEastAsia" w:hAnsi="Tahoma" w:cstheme="majorBidi"/>
      <w:iCs/>
      <w:color w:val="589199"/>
      <w:sz w:val="42"/>
      <w:lang w:val="en-NZ"/>
    </w:rPr>
  </w:style>
  <w:style w:type="character" w:customStyle="1" w:styleId="Heading5Char">
    <w:name w:val="Heading 5 Char"/>
    <w:aliases w:val="1.1 Section Char"/>
    <w:basedOn w:val="DefaultParagraphFont"/>
    <w:link w:val="Heading5"/>
    <w:rsid w:val="004026FB"/>
    <w:rPr>
      <w:rFonts w:ascii="Tahoma" w:eastAsiaTheme="majorEastAsia" w:hAnsi="Tahoma" w:cstheme="majorBidi"/>
      <w:b/>
      <w:color w:val="589199"/>
      <w:sz w:val="24"/>
      <w:lang w:val="en-NZ"/>
    </w:rPr>
  </w:style>
  <w:style w:type="character" w:customStyle="1" w:styleId="Heading6Char">
    <w:name w:val="Heading 6 Char"/>
    <w:aliases w:val="(a) Section Char"/>
    <w:basedOn w:val="DefaultParagraphFont"/>
    <w:link w:val="Heading6"/>
    <w:uiPriority w:val="29"/>
    <w:semiHidden/>
    <w:rsid w:val="007F358B"/>
    <w:rPr>
      <w:rFonts w:ascii="Tahoma" w:eastAsiaTheme="majorEastAsia" w:hAnsi="Tahoma" w:cstheme="majorBidi"/>
      <w:b/>
      <w:sz w:val="21"/>
      <w:lang w:val="en-NZ"/>
    </w:rPr>
  </w:style>
  <w:style w:type="character" w:customStyle="1" w:styleId="Heading7Char">
    <w:name w:val="Heading 7 Char"/>
    <w:aliases w:val="Appendix Char"/>
    <w:basedOn w:val="DefaultParagraphFont"/>
    <w:link w:val="Heading7"/>
    <w:uiPriority w:val="2"/>
    <w:rsid w:val="00EA4E20"/>
    <w:rPr>
      <w:rFonts w:ascii="Tahoma" w:eastAsiaTheme="majorEastAsia" w:hAnsi="Tahoma" w:cstheme="majorBidi"/>
      <w:iCs/>
      <w:color w:val="589199"/>
      <w:sz w:val="42"/>
      <w:lang w:val="en-NZ"/>
    </w:rPr>
  </w:style>
  <w:style w:type="character" w:customStyle="1" w:styleId="Heading8Char">
    <w:name w:val="Heading 8 Char"/>
    <w:aliases w:val="Non TOC 1 Char"/>
    <w:basedOn w:val="DefaultParagraphFont"/>
    <w:link w:val="Heading8"/>
    <w:uiPriority w:val="2"/>
    <w:rsid w:val="000F28EA"/>
    <w:rPr>
      <w:rFonts w:ascii="Tahoma" w:eastAsiaTheme="majorEastAsia" w:hAnsi="Tahoma" w:cstheme="majorBidi"/>
      <w:color w:val="589199"/>
      <w:sz w:val="42"/>
      <w:szCs w:val="20"/>
      <w:lang w:val="en-NZ"/>
    </w:rPr>
  </w:style>
  <w:style w:type="character" w:customStyle="1" w:styleId="Heading9Char">
    <w:name w:val="Heading 9 Char"/>
    <w:basedOn w:val="DefaultParagraphFont"/>
    <w:link w:val="Heading9"/>
    <w:uiPriority w:val="99"/>
    <w:semiHidden/>
    <w:rsid w:val="004026FB"/>
    <w:rPr>
      <w:rFonts w:ascii="Tahoma" w:eastAsiaTheme="majorEastAsia" w:hAnsi="Tahoma" w:cstheme="majorBidi"/>
      <w:iCs/>
      <w:color w:val="404040" w:themeColor="text1" w:themeTint="BF"/>
      <w:sz w:val="21"/>
      <w:szCs w:val="20"/>
      <w:lang w:val="en-NZ"/>
    </w:rPr>
  </w:style>
  <w:style w:type="character" w:styleId="FootnoteReference">
    <w:name w:val="footnote reference"/>
    <w:basedOn w:val="DefaultParagraphFont"/>
    <w:uiPriority w:val="6"/>
    <w:qFormat/>
    <w:rsid w:val="0050628C"/>
    <w:rPr>
      <w:vertAlign w:val="superscript"/>
    </w:rPr>
  </w:style>
  <w:style w:type="paragraph" w:styleId="FootnoteText">
    <w:name w:val="footnote text"/>
    <w:basedOn w:val="Normal"/>
    <w:link w:val="FootnoteTextChar"/>
    <w:uiPriority w:val="6"/>
    <w:qFormat/>
    <w:rsid w:val="00D40D11"/>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D27946"/>
    <w:rPr>
      <w:rFonts w:ascii="Tahoma" w:hAnsi="Tahoma"/>
      <w:color w:val="589199"/>
      <w:sz w:val="16"/>
      <w:szCs w:val="20"/>
      <w:lang w:val="en-NZ"/>
    </w:rPr>
  </w:style>
  <w:style w:type="paragraph" w:styleId="Caption">
    <w:name w:val="caption"/>
    <w:basedOn w:val="Normal"/>
    <w:next w:val="Normal"/>
    <w:uiPriority w:val="99"/>
    <w:semiHidden/>
    <w:rsid w:val="008A4A07"/>
    <w:pPr>
      <w:keepNext/>
      <w:tabs>
        <w:tab w:val="left" w:pos="1134"/>
      </w:tabs>
      <w:spacing w:after="113" w:line="280" w:lineRule="atLeast"/>
      <w:ind w:left="1134" w:hanging="1134"/>
    </w:pPr>
    <w:rPr>
      <w:b/>
      <w:iCs/>
      <w:sz w:val="18"/>
      <w:szCs w:val="18"/>
    </w:rPr>
  </w:style>
  <w:style w:type="paragraph" w:styleId="Footer">
    <w:name w:val="footer"/>
    <w:basedOn w:val="Normal"/>
    <w:link w:val="FooterChar"/>
    <w:uiPriority w:val="99"/>
    <w:semiHidden/>
    <w:rsid w:val="00C1472D"/>
    <w:pPr>
      <w:pBdr>
        <w:bottom w:val="single" w:sz="8" w:space="1" w:color="589199"/>
      </w:pBdr>
      <w:tabs>
        <w:tab w:val="center" w:pos="4513"/>
        <w:tab w:val="right" w:pos="9026"/>
      </w:tabs>
      <w:spacing w:line="280" w:lineRule="atLeast"/>
      <w:jc w:val="right"/>
    </w:pPr>
    <w:rPr>
      <w:sz w:val="16"/>
    </w:rPr>
  </w:style>
  <w:style w:type="character" w:customStyle="1" w:styleId="FooterChar">
    <w:name w:val="Footer Char"/>
    <w:basedOn w:val="DefaultParagraphFont"/>
    <w:link w:val="Footer"/>
    <w:uiPriority w:val="99"/>
    <w:semiHidden/>
    <w:rsid w:val="00C30AEE"/>
    <w:rPr>
      <w:rFonts w:ascii="Tahoma" w:hAnsi="Tahoma"/>
      <w:sz w:val="16"/>
      <w:lang w:val="en-NZ"/>
    </w:rPr>
  </w:style>
  <w:style w:type="paragraph" w:styleId="Header">
    <w:name w:val="header"/>
    <w:basedOn w:val="Normal"/>
    <w:link w:val="HeaderChar"/>
    <w:uiPriority w:val="99"/>
    <w:semiHidden/>
    <w:rsid w:val="00C1472D"/>
    <w:pPr>
      <w:tabs>
        <w:tab w:val="center" w:pos="4513"/>
        <w:tab w:val="right" w:pos="9026"/>
      </w:tabs>
      <w:spacing w:line="280" w:lineRule="atLeast"/>
    </w:pPr>
    <w:rPr>
      <w:color w:val="7F7F7F" w:themeColor="text1" w:themeTint="80"/>
      <w:sz w:val="16"/>
    </w:rPr>
  </w:style>
  <w:style w:type="character" w:customStyle="1" w:styleId="HeaderChar">
    <w:name w:val="Header Char"/>
    <w:basedOn w:val="DefaultParagraphFont"/>
    <w:link w:val="Header"/>
    <w:uiPriority w:val="99"/>
    <w:semiHidden/>
    <w:rsid w:val="00C30AEE"/>
    <w:rPr>
      <w:rFonts w:ascii="Tahoma" w:hAnsi="Tahoma"/>
      <w:color w:val="7F7F7F" w:themeColor="text1" w:themeTint="80"/>
      <w:sz w:val="16"/>
      <w:lang w:val="en-NZ"/>
    </w:rPr>
  </w:style>
  <w:style w:type="paragraph" w:customStyle="1" w:styleId="RegsNormal">
    <w:name w:val="Regs_Normal"/>
    <w:basedOn w:val="BodyText"/>
    <w:uiPriority w:val="8"/>
    <w:rsid w:val="00C1472D"/>
    <w:pPr>
      <w:spacing w:after="0"/>
      <w:ind w:left="709"/>
      <w:jc w:val="both"/>
    </w:pPr>
    <w:rPr>
      <w:rFonts w:ascii="Arial" w:eastAsia="Times New Roman" w:hAnsi="Arial" w:cs="Times New Roman"/>
      <w:szCs w:val="20"/>
      <w:lang w:eastAsia="en-GB"/>
    </w:rPr>
  </w:style>
  <w:style w:type="paragraph" w:styleId="BodyText">
    <w:name w:val="Body Text"/>
    <w:basedOn w:val="Normal"/>
    <w:link w:val="BodyTextChar"/>
    <w:uiPriority w:val="5"/>
    <w:qFormat/>
    <w:rsid w:val="0050628C"/>
    <w:pPr>
      <w:spacing w:after="120" w:line="280" w:lineRule="atLeast"/>
    </w:pPr>
  </w:style>
  <w:style w:type="character" w:customStyle="1" w:styleId="BodyTextChar">
    <w:name w:val="Body Text Char"/>
    <w:basedOn w:val="DefaultParagraphFont"/>
    <w:link w:val="BodyText"/>
    <w:uiPriority w:val="5"/>
    <w:rsid w:val="00EA4E20"/>
    <w:rPr>
      <w:rFonts w:ascii="Tahoma" w:hAnsi="Tahoma"/>
      <w:sz w:val="21"/>
      <w:lang w:val="en-NZ"/>
    </w:rPr>
  </w:style>
  <w:style w:type="paragraph" w:customStyle="1" w:styleId="RegsBodyText">
    <w:name w:val="Regs_Body Text"/>
    <w:basedOn w:val="RegsNormal"/>
    <w:uiPriority w:val="8"/>
    <w:rsid w:val="00C1472D"/>
    <w:pPr>
      <w:spacing w:after="240" w:line="320" w:lineRule="atLeast"/>
    </w:pPr>
  </w:style>
  <w:style w:type="paragraph" w:customStyle="1" w:styleId="RegsDescription">
    <w:name w:val="Regs_Description"/>
    <w:basedOn w:val="RegsBodyText"/>
    <w:uiPriority w:val="8"/>
    <w:rsid w:val="00C1472D"/>
    <w:pPr>
      <w:ind w:left="0"/>
      <w:jc w:val="center"/>
    </w:pPr>
  </w:style>
  <w:style w:type="paragraph" w:customStyle="1" w:styleId="RegsFooter">
    <w:name w:val="Regs_Footer"/>
    <w:basedOn w:val="Footer"/>
    <w:uiPriority w:val="8"/>
    <w:rsid w:val="00C1472D"/>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C1472D"/>
    <w:pPr>
      <w:keepNext/>
      <w:spacing w:after="480"/>
      <w:ind w:left="0"/>
      <w:jc w:val="center"/>
    </w:pPr>
    <w:rPr>
      <w:b/>
    </w:rPr>
  </w:style>
  <w:style w:type="paragraph" w:customStyle="1" w:styleId="RegsHeading2">
    <w:name w:val="Regs_Heading 2"/>
    <w:basedOn w:val="RegsBodyText"/>
    <w:next w:val="RegsBodyText"/>
    <w:uiPriority w:val="8"/>
    <w:rsid w:val="00C1472D"/>
    <w:pPr>
      <w:keepNext/>
      <w:spacing w:before="360" w:after="360"/>
      <w:ind w:left="0"/>
      <w:jc w:val="center"/>
    </w:pPr>
    <w:rPr>
      <w:b/>
      <w:i/>
    </w:rPr>
  </w:style>
  <w:style w:type="paragraph" w:customStyle="1" w:styleId="RegsHeading3">
    <w:name w:val="Regs_Heading 3"/>
    <w:basedOn w:val="Normal"/>
    <w:next w:val="Normal"/>
    <w:uiPriority w:val="8"/>
    <w:rsid w:val="00C1472D"/>
    <w:pPr>
      <w:keepNext/>
      <w:spacing w:before="360" w:after="360" w:line="320" w:lineRule="atLeast"/>
      <w:jc w:val="center"/>
    </w:pPr>
    <w:rPr>
      <w:rFonts w:ascii="Arial" w:eastAsia="Times New Roman" w:hAnsi="Arial" w:cs="Times New Roman"/>
      <w:i/>
      <w:szCs w:val="20"/>
      <w:lang w:eastAsia="en-GB"/>
    </w:rPr>
  </w:style>
  <w:style w:type="paragraph" w:customStyle="1" w:styleId="RegsOutline">
    <w:name w:val="Regs_Outline"/>
    <w:basedOn w:val="RegsBodyText"/>
    <w:next w:val="Normal"/>
    <w:uiPriority w:val="8"/>
    <w:rsid w:val="00C1472D"/>
    <w:pPr>
      <w:keepNext/>
      <w:numPr>
        <w:numId w:val="1"/>
      </w:numPr>
      <w:spacing w:before="240"/>
    </w:pPr>
    <w:rPr>
      <w:b/>
    </w:rPr>
  </w:style>
  <w:style w:type="paragraph" w:customStyle="1" w:styleId="RegsOutline1Text">
    <w:name w:val="Regs_Outline 1 Text"/>
    <w:basedOn w:val="RegsBodyText"/>
    <w:uiPriority w:val="8"/>
    <w:rsid w:val="00C1472D"/>
    <w:pPr>
      <w:numPr>
        <w:ilvl w:val="1"/>
        <w:numId w:val="1"/>
      </w:numPr>
    </w:pPr>
  </w:style>
  <w:style w:type="paragraph" w:customStyle="1" w:styleId="RegsPartheading">
    <w:name w:val="Regs_Part heading"/>
    <w:basedOn w:val="RegsBodyText"/>
    <w:next w:val="RegsHeading1"/>
    <w:uiPriority w:val="8"/>
    <w:rsid w:val="00C1472D"/>
    <w:pPr>
      <w:keepNext/>
      <w:numPr>
        <w:numId w:val="2"/>
      </w:numPr>
      <w:spacing w:before="240" w:after="480"/>
      <w:jc w:val="center"/>
    </w:pPr>
    <w:rPr>
      <w:b/>
    </w:rPr>
  </w:style>
  <w:style w:type="paragraph" w:customStyle="1" w:styleId="RegsTableBullet">
    <w:name w:val="Regs_Table Bullet"/>
    <w:basedOn w:val="Normal"/>
    <w:uiPriority w:val="8"/>
    <w:rsid w:val="00C1472D"/>
    <w:pPr>
      <w:numPr>
        <w:numId w:val="3"/>
      </w:numPr>
      <w:spacing w:line="280" w:lineRule="atLeast"/>
    </w:pPr>
    <w:rPr>
      <w:rFonts w:eastAsia="Times New Roman" w:cs="Times New Roman"/>
      <w:sz w:val="22"/>
      <w:szCs w:val="20"/>
      <w:lang w:eastAsia="en-GB"/>
    </w:rPr>
  </w:style>
  <w:style w:type="paragraph" w:customStyle="1" w:styleId="RegsTitle">
    <w:name w:val="Regs_Title"/>
    <w:basedOn w:val="Normal"/>
    <w:next w:val="Normal"/>
    <w:uiPriority w:val="8"/>
    <w:rsid w:val="00C1472D"/>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C1472D"/>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C1472D"/>
    <w:pPr>
      <w:spacing w:after="240" w:line="320" w:lineRule="atLeast"/>
    </w:pPr>
  </w:style>
  <w:style w:type="paragraph" w:customStyle="1" w:styleId="RulesDescription">
    <w:name w:val="Rules_Description"/>
    <w:basedOn w:val="RulesBodyText"/>
    <w:uiPriority w:val="9"/>
    <w:rsid w:val="00C1472D"/>
    <w:pPr>
      <w:ind w:left="0"/>
      <w:jc w:val="center"/>
    </w:pPr>
  </w:style>
  <w:style w:type="paragraph" w:customStyle="1" w:styleId="RulesHeader">
    <w:name w:val="Rules_Header"/>
    <w:basedOn w:val="RulesBodyText"/>
    <w:uiPriority w:val="9"/>
    <w:rsid w:val="00C1472D"/>
    <w:pPr>
      <w:ind w:left="0"/>
      <w:jc w:val="center"/>
    </w:pPr>
    <w:rPr>
      <w:b/>
      <w:caps/>
    </w:rPr>
  </w:style>
  <w:style w:type="paragraph" w:customStyle="1" w:styleId="RulesHeading1">
    <w:name w:val="Rules_Heading 1"/>
    <w:basedOn w:val="RulesBodyText"/>
    <w:next w:val="Normal"/>
    <w:uiPriority w:val="9"/>
    <w:rsid w:val="00C1472D"/>
    <w:pPr>
      <w:keepNext/>
      <w:spacing w:after="480"/>
      <w:ind w:left="0"/>
      <w:jc w:val="center"/>
    </w:pPr>
    <w:rPr>
      <w:b/>
    </w:rPr>
  </w:style>
  <w:style w:type="paragraph" w:customStyle="1" w:styleId="RulesHeading2">
    <w:name w:val="Rules_Heading 2"/>
    <w:basedOn w:val="Normal"/>
    <w:next w:val="Normal"/>
    <w:uiPriority w:val="9"/>
    <w:rsid w:val="00C1472D"/>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C1472D"/>
    <w:pPr>
      <w:keepNext/>
      <w:spacing w:before="360" w:after="360"/>
      <w:ind w:left="0"/>
      <w:jc w:val="center"/>
    </w:pPr>
    <w:rPr>
      <w:i/>
    </w:rPr>
  </w:style>
  <w:style w:type="paragraph" w:customStyle="1" w:styleId="RulesOutline">
    <w:name w:val="Rules_Outline"/>
    <w:basedOn w:val="RulesBodyText"/>
    <w:next w:val="RulesBodyText"/>
    <w:uiPriority w:val="9"/>
    <w:rsid w:val="00C1472D"/>
    <w:pPr>
      <w:keepNext/>
      <w:numPr>
        <w:numId w:val="4"/>
      </w:numPr>
      <w:spacing w:before="240"/>
    </w:pPr>
    <w:rPr>
      <w:b/>
    </w:rPr>
  </w:style>
  <w:style w:type="paragraph" w:customStyle="1" w:styleId="RulesOutline1Text">
    <w:name w:val="Rules_Outline 1 Text"/>
    <w:basedOn w:val="RulesBodyText"/>
    <w:uiPriority w:val="9"/>
    <w:rsid w:val="00C1472D"/>
    <w:pPr>
      <w:numPr>
        <w:ilvl w:val="1"/>
        <w:numId w:val="4"/>
      </w:numPr>
    </w:pPr>
  </w:style>
  <w:style w:type="paragraph" w:customStyle="1" w:styleId="RulesPartheading">
    <w:name w:val="Rules_Part heading"/>
    <w:basedOn w:val="RulesBodyText"/>
    <w:next w:val="Normal"/>
    <w:uiPriority w:val="9"/>
    <w:rsid w:val="00C1472D"/>
    <w:pPr>
      <w:keepNext/>
      <w:numPr>
        <w:numId w:val="5"/>
      </w:numPr>
      <w:spacing w:before="240" w:after="480"/>
      <w:jc w:val="center"/>
    </w:pPr>
    <w:rPr>
      <w:b/>
    </w:rPr>
  </w:style>
  <w:style w:type="paragraph" w:customStyle="1" w:styleId="RulesTableBullet">
    <w:name w:val="Rules_Table Bullet"/>
    <w:basedOn w:val="RulesBodyText"/>
    <w:uiPriority w:val="9"/>
    <w:rsid w:val="00C1472D"/>
    <w:pPr>
      <w:numPr>
        <w:numId w:val="6"/>
      </w:numPr>
    </w:pPr>
  </w:style>
  <w:style w:type="paragraph" w:customStyle="1" w:styleId="RulesTitle">
    <w:name w:val="Rules_Title"/>
    <w:basedOn w:val="RulesBodyText"/>
    <w:next w:val="RulesDescription"/>
    <w:uiPriority w:val="9"/>
    <w:rsid w:val="00C1472D"/>
    <w:pPr>
      <w:spacing w:after="480"/>
      <w:ind w:left="0"/>
      <w:jc w:val="center"/>
    </w:pPr>
    <w:rPr>
      <w:b/>
      <w:caps/>
      <w:sz w:val="28"/>
      <w:szCs w:val="24"/>
    </w:rPr>
  </w:style>
  <w:style w:type="paragraph" w:styleId="TOC1">
    <w:name w:val="toc 1"/>
    <w:basedOn w:val="Normal"/>
    <w:next w:val="Normal"/>
    <w:uiPriority w:val="39"/>
    <w:semiHidden/>
    <w:rsid w:val="00C30AEE"/>
    <w:pPr>
      <w:tabs>
        <w:tab w:val="right" w:pos="9072"/>
      </w:tabs>
      <w:spacing w:after="100"/>
      <w:ind w:left="2410" w:right="1134" w:hanging="425"/>
    </w:pPr>
  </w:style>
  <w:style w:type="paragraph" w:styleId="TOC2">
    <w:name w:val="toc 2"/>
    <w:basedOn w:val="Normal"/>
    <w:next w:val="Normal"/>
    <w:uiPriority w:val="39"/>
    <w:semiHidden/>
    <w:rsid w:val="00C30AEE"/>
    <w:pPr>
      <w:tabs>
        <w:tab w:val="right" w:pos="9072"/>
      </w:tabs>
      <w:spacing w:after="100"/>
      <w:ind w:left="2977" w:right="1134" w:hanging="567"/>
    </w:pPr>
  </w:style>
  <w:style w:type="paragraph" w:styleId="TOC3">
    <w:name w:val="toc 3"/>
    <w:basedOn w:val="Normal"/>
    <w:next w:val="Normal"/>
    <w:autoRedefine/>
    <w:uiPriority w:val="39"/>
    <w:semiHidden/>
    <w:rsid w:val="00C30AEE"/>
    <w:pPr>
      <w:tabs>
        <w:tab w:val="left" w:pos="4111"/>
        <w:tab w:val="right" w:pos="9072"/>
      </w:tabs>
      <w:spacing w:after="100"/>
      <w:ind w:left="2836" w:right="1134" w:hanging="851"/>
    </w:pPr>
  </w:style>
  <w:style w:type="paragraph" w:styleId="TOC4">
    <w:name w:val="toc 4"/>
    <w:basedOn w:val="Normal"/>
    <w:next w:val="Normal"/>
    <w:autoRedefine/>
    <w:uiPriority w:val="39"/>
    <w:semiHidden/>
    <w:rsid w:val="00C30AEE"/>
    <w:pPr>
      <w:tabs>
        <w:tab w:val="right" w:pos="9072"/>
      </w:tabs>
      <w:spacing w:after="100"/>
      <w:ind w:left="1985" w:right="1134"/>
    </w:pPr>
  </w:style>
  <w:style w:type="paragraph" w:styleId="TOC5">
    <w:name w:val="toc 5"/>
    <w:basedOn w:val="TOC4"/>
    <w:next w:val="Normal"/>
    <w:autoRedefine/>
    <w:uiPriority w:val="99"/>
    <w:semiHidden/>
    <w:rsid w:val="004026FB"/>
  </w:style>
  <w:style w:type="character" w:styleId="Hyperlink">
    <w:name w:val="Hyperlink"/>
    <w:basedOn w:val="DefaultParagraphFont"/>
    <w:uiPriority w:val="99"/>
    <w:semiHidden/>
    <w:rsid w:val="00E85910"/>
    <w:rPr>
      <w:color w:val="58919C"/>
      <w:u w:val="single"/>
    </w:rPr>
  </w:style>
  <w:style w:type="paragraph" w:customStyle="1" w:styleId="NonTOC2">
    <w:name w:val="Non TOC 2"/>
    <w:basedOn w:val="Heading2"/>
    <w:next w:val="BodyText"/>
    <w:uiPriority w:val="1"/>
    <w:rsid w:val="0050628C"/>
    <w:pPr>
      <w:outlineLvl w:val="9"/>
    </w:pPr>
  </w:style>
  <w:style w:type="paragraph" w:customStyle="1" w:styleId="NonTOC3">
    <w:name w:val="Non TOC 3"/>
    <w:basedOn w:val="Heading3"/>
    <w:next w:val="BodyText"/>
    <w:uiPriority w:val="1"/>
    <w:rsid w:val="0050628C"/>
    <w:pPr>
      <w:outlineLvl w:val="9"/>
    </w:pPr>
  </w:style>
  <w:style w:type="paragraph" w:styleId="BodyTextIndent">
    <w:name w:val="Body Text Indent"/>
    <w:basedOn w:val="BodyText"/>
    <w:link w:val="BodyTextIndentChar"/>
    <w:uiPriority w:val="3"/>
    <w:qFormat/>
    <w:rsid w:val="0050628C"/>
    <w:pPr>
      <w:ind w:left="340"/>
    </w:pPr>
  </w:style>
  <w:style w:type="character" w:customStyle="1" w:styleId="BodyTextIndentChar">
    <w:name w:val="Body Text Indent Char"/>
    <w:basedOn w:val="DefaultParagraphFont"/>
    <w:link w:val="BodyTextIndent"/>
    <w:uiPriority w:val="3"/>
    <w:rsid w:val="00EA4E20"/>
    <w:rPr>
      <w:rFonts w:ascii="Tahoma" w:hAnsi="Tahoma"/>
      <w:sz w:val="21"/>
      <w:lang w:val="en-NZ"/>
    </w:rPr>
  </w:style>
  <w:style w:type="paragraph" w:customStyle="1" w:styleId="Quotation">
    <w:name w:val="Quotation"/>
    <w:basedOn w:val="BodyText"/>
    <w:uiPriority w:val="3"/>
    <w:rsid w:val="00AA410D"/>
    <w:pPr>
      <w:ind w:left="851" w:right="567"/>
    </w:pPr>
    <w:rPr>
      <w:sz w:val="19"/>
    </w:rPr>
  </w:style>
  <w:style w:type="paragraph" w:customStyle="1" w:styleId="aPara">
    <w:name w:val="(a) Para"/>
    <w:basedOn w:val="BodyText"/>
    <w:uiPriority w:val="2"/>
    <w:semiHidden/>
    <w:rsid w:val="000013E7"/>
    <w:pPr>
      <w:numPr>
        <w:ilvl w:val="3"/>
        <w:numId w:val="10"/>
      </w:numPr>
    </w:pPr>
  </w:style>
  <w:style w:type="paragraph" w:customStyle="1" w:styleId="iPara">
    <w:name w:val="(i) Para"/>
    <w:basedOn w:val="BodyText"/>
    <w:uiPriority w:val="2"/>
    <w:semiHidden/>
    <w:rsid w:val="000013E7"/>
    <w:pPr>
      <w:numPr>
        <w:ilvl w:val="4"/>
        <w:numId w:val="10"/>
      </w:numPr>
    </w:pPr>
  </w:style>
  <w:style w:type="paragraph" w:customStyle="1" w:styleId="1Para">
    <w:name w:val="1 Para"/>
    <w:basedOn w:val="BodyText"/>
    <w:uiPriority w:val="1"/>
    <w:semiHidden/>
    <w:rsid w:val="000013E7"/>
    <w:pPr>
      <w:numPr>
        <w:ilvl w:val="2"/>
        <w:numId w:val="10"/>
      </w:numPr>
    </w:pPr>
  </w:style>
  <w:style w:type="paragraph" w:customStyle="1" w:styleId="TableHeading">
    <w:name w:val="Table Heading"/>
    <w:basedOn w:val="BodyText"/>
    <w:next w:val="TableBodyText"/>
    <w:uiPriority w:val="7"/>
    <w:qFormat/>
    <w:rsid w:val="00EF156F"/>
    <w:pPr>
      <w:keepNext/>
      <w:spacing w:before="57" w:after="57"/>
    </w:pPr>
    <w:rPr>
      <w:b/>
      <w:sz w:val="19"/>
    </w:rPr>
  </w:style>
  <w:style w:type="paragraph" w:customStyle="1" w:styleId="TableBodyText">
    <w:name w:val="Table Body Text"/>
    <w:basedOn w:val="Normal"/>
    <w:uiPriority w:val="7"/>
    <w:qFormat/>
    <w:rsid w:val="00EF156F"/>
    <w:pPr>
      <w:spacing w:before="57" w:after="57" w:line="280" w:lineRule="atLeast"/>
    </w:pPr>
    <w:rPr>
      <w:sz w:val="19"/>
    </w:rPr>
  </w:style>
  <w:style w:type="paragraph" w:customStyle="1" w:styleId="zABC">
    <w:name w:val="z_ABC"/>
    <w:basedOn w:val="BodyText"/>
    <w:uiPriority w:val="99"/>
    <w:semiHidden/>
    <w:rsid w:val="00C30AEE"/>
    <w:pPr>
      <w:numPr>
        <w:numId w:val="18"/>
      </w:numPr>
      <w:contextualSpacing/>
    </w:pPr>
  </w:style>
  <w:style w:type="paragraph" w:customStyle="1" w:styleId="zTitle">
    <w:name w:val="z_Title"/>
    <w:basedOn w:val="Normal"/>
    <w:uiPriority w:val="99"/>
    <w:semiHidden/>
    <w:rsid w:val="00915D77"/>
    <w:pPr>
      <w:keepNext/>
      <w:keepLines/>
      <w:pBdr>
        <w:bottom w:val="single" w:sz="24" w:space="6" w:color="589199"/>
      </w:pBdr>
      <w:spacing w:before="227" w:after="170" w:line="240" w:lineRule="auto"/>
    </w:pPr>
    <w:rPr>
      <w:color w:val="589199"/>
      <w:sz w:val="42"/>
    </w:rPr>
  </w:style>
  <w:style w:type="numbering" w:customStyle="1" w:styleId="LISTBullets">
    <w:name w:val="LIST Bullets"/>
    <w:basedOn w:val="NoList"/>
    <w:uiPriority w:val="99"/>
    <w:rsid w:val="000013E7"/>
    <w:pPr>
      <w:numPr>
        <w:numId w:val="9"/>
      </w:numPr>
    </w:pPr>
  </w:style>
  <w:style w:type="numbering" w:customStyle="1" w:styleId="LISTMainNumbering">
    <w:name w:val="LIST Main Numbering"/>
    <w:basedOn w:val="NoList"/>
    <w:uiPriority w:val="99"/>
    <w:rsid w:val="000013E7"/>
    <w:pPr>
      <w:numPr>
        <w:numId w:val="10"/>
      </w:numPr>
    </w:pPr>
  </w:style>
  <w:style w:type="paragraph" w:styleId="ListParagraph">
    <w:name w:val="List Paragraph"/>
    <w:basedOn w:val="Normal"/>
    <w:uiPriority w:val="99"/>
    <w:semiHidden/>
    <w:locked/>
    <w:rsid w:val="000013E7"/>
    <w:pPr>
      <w:spacing w:line="280" w:lineRule="atLeast"/>
      <w:ind w:left="720"/>
      <w:contextualSpacing/>
    </w:pPr>
  </w:style>
  <w:style w:type="paragraph" w:customStyle="1" w:styleId="AppA1">
    <w:name w:val="App A.1"/>
    <w:basedOn w:val="Heading5"/>
    <w:next w:val="BodyText"/>
    <w:uiPriority w:val="2"/>
    <w:rsid w:val="006E2D35"/>
    <w:pPr>
      <w:keepLines/>
      <w:numPr>
        <w:numId w:val="11"/>
      </w:numPr>
      <w:outlineLvl w:val="9"/>
    </w:pPr>
    <w:rPr>
      <w:color w:val="auto"/>
    </w:rPr>
  </w:style>
  <w:style w:type="paragraph" w:customStyle="1" w:styleId="AppA11">
    <w:name w:val="App A.1.1"/>
    <w:basedOn w:val="Heading6"/>
    <w:next w:val="BodyText"/>
    <w:uiPriority w:val="2"/>
    <w:rsid w:val="006E2D35"/>
    <w:pPr>
      <w:numPr>
        <w:numId w:val="11"/>
      </w:numPr>
      <w:outlineLvl w:val="9"/>
    </w:pPr>
  </w:style>
  <w:style w:type="numbering" w:customStyle="1" w:styleId="LISTAppendix">
    <w:name w:val="LIST Appendix"/>
    <w:basedOn w:val="NoList"/>
    <w:uiPriority w:val="99"/>
    <w:rsid w:val="006E2D35"/>
    <w:pPr>
      <w:numPr>
        <w:numId w:val="8"/>
      </w:numPr>
    </w:pPr>
  </w:style>
  <w:style w:type="paragraph" w:customStyle="1" w:styleId="Tablenotes">
    <w:name w:val="Table notes"/>
    <w:basedOn w:val="BodyText"/>
    <w:uiPriority w:val="7"/>
    <w:qFormat/>
    <w:rsid w:val="00EF156F"/>
    <w:pPr>
      <w:numPr>
        <w:numId w:val="26"/>
      </w:numPr>
      <w:spacing w:after="0" w:line="160" w:lineRule="atLeast"/>
    </w:pPr>
    <w:rPr>
      <w:rFonts w:eastAsia="Times New Roman" w:cs="Times New Roman"/>
      <w:sz w:val="16"/>
      <w:szCs w:val="20"/>
      <w:lang w:eastAsia="en-GB"/>
    </w:rPr>
  </w:style>
  <w:style w:type="paragraph" w:customStyle="1" w:styleId="TableSource">
    <w:name w:val="Table Source"/>
    <w:basedOn w:val="BodyText"/>
    <w:uiPriority w:val="7"/>
    <w:qFormat/>
    <w:rsid w:val="00EF156F"/>
    <w:pPr>
      <w:tabs>
        <w:tab w:val="left" w:pos="1134"/>
      </w:tabs>
      <w:spacing w:after="240" w:line="320" w:lineRule="atLeast"/>
      <w:ind w:left="1134" w:hanging="1134"/>
    </w:pPr>
    <w:rPr>
      <w:rFonts w:eastAsia="Times New Roman" w:cs="Times New Roman"/>
      <w:sz w:val="18"/>
      <w:szCs w:val="20"/>
      <w:lang w:eastAsia="en-GB"/>
    </w:rPr>
  </w:style>
  <w:style w:type="paragraph" w:customStyle="1" w:styleId="TableBodyTextIndent">
    <w:name w:val="Table Body Text Indent"/>
    <w:basedOn w:val="TableBodyText"/>
    <w:uiPriority w:val="7"/>
    <w:qFormat/>
    <w:rsid w:val="00EF156F"/>
    <w:pPr>
      <w:ind w:left="340"/>
    </w:pPr>
  </w:style>
  <w:style w:type="paragraph" w:customStyle="1" w:styleId="TableBullets">
    <w:name w:val="Table Bullets"/>
    <w:basedOn w:val="TableBodyText"/>
    <w:uiPriority w:val="7"/>
    <w:qFormat/>
    <w:rsid w:val="00EF156F"/>
    <w:pPr>
      <w:numPr>
        <w:numId w:val="25"/>
      </w:numPr>
    </w:pPr>
  </w:style>
  <w:style w:type="paragraph" w:customStyle="1" w:styleId="TableParaList">
    <w:name w:val="Table Para List"/>
    <w:basedOn w:val="TableBodyText"/>
    <w:uiPriority w:val="7"/>
    <w:qFormat/>
    <w:rsid w:val="00EF156F"/>
    <w:pPr>
      <w:numPr>
        <w:numId w:val="27"/>
      </w:numPr>
    </w:pPr>
  </w:style>
  <w:style w:type="numbering" w:customStyle="1" w:styleId="LISTTableBullets">
    <w:name w:val="LIST Table Bullets"/>
    <w:basedOn w:val="NoList"/>
    <w:uiPriority w:val="99"/>
    <w:rsid w:val="00956B2F"/>
    <w:pPr>
      <w:numPr>
        <w:numId w:val="12"/>
      </w:numPr>
    </w:pPr>
  </w:style>
  <w:style w:type="numbering" w:customStyle="1" w:styleId="LISTTableNumbering">
    <w:name w:val="LIST Table Numbering"/>
    <w:basedOn w:val="NoList"/>
    <w:uiPriority w:val="99"/>
    <w:rsid w:val="00956B2F"/>
    <w:pPr>
      <w:numPr>
        <w:numId w:val="13"/>
      </w:numPr>
    </w:pPr>
  </w:style>
  <w:style w:type="table" w:customStyle="1" w:styleId="GAS">
    <w:name w:val="GAS"/>
    <w:basedOn w:val="TableNormal"/>
    <w:uiPriority w:val="99"/>
    <w:rsid w:val="00FA79F7"/>
    <w:pPr>
      <w:spacing w:after="0" w:line="240" w:lineRule="auto"/>
    </w:pPr>
    <w:rPr>
      <w:rFonts w:ascii="Tahoma" w:eastAsia="Times New Roman" w:hAnsi="Tahoma" w:cs="Times New Roman"/>
      <w:sz w:val="20"/>
      <w:szCs w:val="20"/>
      <w:lang w:val="en-NZ" w:eastAsia="en-NZ"/>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character" w:styleId="CommentReference">
    <w:name w:val="annotation reference"/>
    <w:basedOn w:val="DefaultParagraphFont"/>
    <w:uiPriority w:val="99"/>
    <w:semiHidden/>
    <w:unhideWhenUsed/>
    <w:locked/>
    <w:rsid w:val="00131B3C"/>
    <w:rPr>
      <w:sz w:val="16"/>
      <w:szCs w:val="16"/>
    </w:rPr>
  </w:style>
  <w:style w:type="paragraph" w:styleId="CommentText">
    <w:name w:val="annotation text"/>
    <w:basedOn w:val="Normal"/>
    <w:link w:val="CommentTextChar"/>
    <w:uiPriority w:val="99"/>
    <w:semiHidden/>
    <w:locked/>
    <w:rsid w:val="00131B3C"/>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C30AEE"/>
    <w:rPr>
      <w:rFonts w:ascii="Tahoma" w:hAnsi="Tahoma" w:cs="Times New Roman"/>
      <w:sz w:val="20"/>
      <w:szCs w:val="20"/>
      <w:lang w:val="en-NZ"/>
    </w:rPr>
  </w:style>
  <w:style w:type="table" w:styleId="GridTable4-Accent1">
    <w:name w:val="Grid Table 4 Accent 1"/>
    <w:basedOn w:val="TableNormal"/>
    <w:uiPriority w:val="49"/>
    <w:locked/>
    <w:rsid w:val="00131B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locked/>
    <w:rsid w:val="00131B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3C"/>
    <w:rPr>
      <w:rFonts w:ascii="Segoe UI" w:hAnsi="Segoe UI" w:cs="Segoe UI"/>
      <w:sz w:val="18"/>
      <w:szCs w:val="18"/>
      <w:lang w:val="en-NZ"/>
    </w:rPr>
  </w:style>
  <w:style w:type="table" w:styleId="TableGrid">
    <w:name w:val="Table Grid"/>
    <w:basedOn w:val="TableNormal"/>
    <w:uiPriority w:val="39"/>
    <w:rsid w:val="00EF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otes">
    <w:name w:val="LIST Table notes"/>
    <w:basedOn w:val="NoList"/>
    <w:uiPriority w:val="99"/>
    <w:rsid w:val="008A4A07"/>
    <w:pPr>
      <w:numPr>
        <w:numId w:val="16"/>
      </w:numPr>
    </w:pPr>
  </w:style>
  <w:style w:type="numbering" w:customStyle="1" w:styleId="LISTzABC">
    <w:name w:val="LIST z_ABC"/>
    <w:basedOn w:val="NoList"/>
    <w:uiPriority w:val="99"/>
    <w:rsid w:val="00C30AEE"/>
    <w:pPr>
      <w:numPr>
        <w:numId w:val="17"/>
      </w:numPr>
    </w:pPr>
  </w:style>
  <w:style w:type="numbering" w:customStyle="1" w:styleId="3LevelList">
    <w:name w:val="3 Level List"/>
    <w:basedOn w:val="NoList"/>
    <w:uiPriority w:val="99"/>
    <w:rsid w:val="00F55C48"/>
    <w:pPr>
      <w:numPr>
        <w:numId w:val="19"/>
      </w:numPr>
    </w:pPr>
  </w:style>
  <w:style w:type="paragraph" w:customStyle="1" w:styleId="NO1">
    <w:name w:val="NO1"/>
    <w:basedOn w:val="BodyText"/>
    <w:link w:val="NO1Char"/>
    <w:uiPriority w:val="4"/>
    <w:qFormat/>
    <w:rsid w:val="006100E2"/>
    <w:pPr>
      <w:numPr>
        <w:numId w:val="21"/>
      </w:numPr>
    </w:pPr>
  </w:style>
  <w:style w:type="character" w:customStyle="1" w:styleId="NO1Char">
    <w:name w:val="NO1 Char"/>
    <w:basedOn w:val="BodyTextChar"/>
    <w:link w:val="NO1"/>
    <w:uiPriority w:val="4"/>
    <w:rsid w:val="00EA4E20"/>
    <w:rPr>
      <w:rFonts w:ascii="Tahoma" w:hAnsi="Tahoma"/>
      <w:sz w:val="21"/>
      <w:lang w:val="en-NZ"/>
    </w:rPr>
  </w:style>
  <w:style w:type="paragraph" w:customStyle="1" w:styleId="NO2">
    <w:name w:val="NO2"/>
    <w:basedOn w:val="BodyText"/>
    <w:link w:val="NO2Char"/>
    <w:uiPriority w:val="4"/>
    <w:rsid w:val="006100E2"/>
    <w:pPr>
      <w:numPr>
        <w:ilvl w:val="1"/>
        <w:numId w:val="21"/>
      </w:numPr>
    </w:pPr>
  </w:style>
  <w:style w:type="character" w:customStyle="1" w:styleId="NO2Char">
    <w:name w:val="NO2 Char"/>
    <w:basedOn w:val="BodyTextChar"/>
    <w:link w:val="NO2"/>
    <w:uiPriority w:val="4"/>
    <w:rsid w:val="00EA4E20"/>
    <w:rPr>
      <w:rFonts w:ascii="Tahoma" w:hAnsi="Tahoma"/>
      <w:sz w:val="21"/>
      <w:lang w:val="en-NZ"/>
    </w:rPr>
  </w:style>
  <w:style w:type="paragraph" w:customStyle="1" w:styleId="NO3">
    <w:name w:val="NO3"/>
    <w:basedOn w:val="BodyText"/>
    <w:link w:val="NO3Char"/>
    <w:uiPriority w:val="4"/>
    <w:rsid w:val="005F7D84"/>
    <w:pPr>
      <w:numPr>
        <w:ilvl w:val="2"/>
        <w:numId w:val="21"/>
      </w:numPr>
      <w:ind w:left="1020" w:hanging="340"/>
    </w:pPr>
  </w:style>
  <w:style w:type="character" w:customStyle="1" w:styleId="NO3Char">
    <w:name w:val="NO3 Char"/>
    <w:basedOn w:val="BodyTextChar"/>
    <w:link w:val="NO3"/>
    <w:uiPriority w:val="4"/>
    <w:rsid w:val="005F7D84"/>
    <w:rPr>
      <w:rFonts w:ascii="Tahoma" w:hAnsi="Tahoma"/>
      <w:sz w:val="21"/>
      <w:lang w:val="en-NZ"/>
    </w:rPr>
  </w:style>
  <w:style w:type="paragraph" w:customStyle="1" w:styleId="SingleSpacedParagraph">
    <w:name w:val="Single Spaced Paragraph"/>
    <w:basedOn w:val="Normal"/>
    <w:uiPriority w:val="3"/>
    <w:rsid w:val="00AA3E89"/>
    <w:pPr>
      <w:spacing w:line="280" w:lineRule="atLeast"/>
    </w:pPr>
  </w:style>
  <w:style w:type="paragraph" w:customStyle="1" w:styleId="Bullet1">
    <w:name w:val="Bullet 1"/>
    <w:basedOn w:val="BodyText"/>
    <w:uiPriority w:val="7"/>
    <w:qFormat/>
    <w:rsid w:val="00EF156F"/>
    <w:pPr>
      <w:numPr>
        <w:numId w:val="33"/>
      </w:numPr>
    </w:pPr>
  </w:style>
  <w:style w:type="paragraph" w:customStyle="1" w:styleId="Bullet2">
    <w:name w:val="Bullet 2"/>
    <w:basedOn w:val="BodyText"/>
    <w:uiPriority w:val="7"/>
    <w:rsid w:val="00EF156F"/>
    <w:pPr>
      <w:numPr>
        <w:ilvl w:val="1"/>
        <w:numId w:val="33"/>
      </w:numPr>
    </w:pPr>
  </w:style>
  <w:style w:type="paragraph" w:customStyle="1" w:styleId="Bullet3">
    <w:name w:val="Bullet 3"/>
    <w:basedOn w:val="BodyText"/>
    <w:uiPriority w:val="7"/>
    <w:rsid w:val="00EF156F"/>
    <w:pPr>
      <w:numPr>
        <w:ilvl w:val="2"/>
        <w:numId w:val="33"/>
      </w:numPr>
    </w:pPr>
  </w:style>
  <w:style w:type="paragraph" w:customStyle="1" w:styleId="Default">
    <w:name w:val="Default"/>
    <w:rsid w:val="00DE2D88"/>
    <w:pPr>
      <w:autoSpaceDE w:val="0"/>
      <w:autoSpaceDN w:val="0"/>
      <w:adjustRightInd w:val="0"/>
      <w:spacing w:after="0" w:line="240" w:lineRule="auto"/>
    </w:pPr>
    <w:rPr>
      <w:rFonts w:ascii="Arial" w:hAnsi="Arial" w:cs="Arial"/>
      <w:color w:val="000000"/>
      <w:sz w:val="24"/>
      <w:szCs w:val="24"/>
      <w:lang w:val="en-NZ"/>
    </w:rPr>
  </w:style>
  <w:style w:type="paragraph" w:styleId="CommentSubject">
    <w:name w:val="annotation subject"/>
    <w:basedOn w:val="CommentText"/>
    <w:next w:val="CommentText"/>
    <w:link w:val="CommentSubjectChar"/>
    <w:uiPriority w:val="99"/>
    <w:semiHidden/>
    <w:locked/>
    <w:rsid w:val="000534BB"/>
    <w:rPr>
      <w:rFonts w:cstheme="minorBidi"/>
      <w:b/>
      <w:bCs/>
    </w:rPr>
  </w:style>
  <w:style w:type="character" w:customStyle="1" w:styleId="CommentSubjectChar">
    <w:name w:val="Comment Subject Char"/>
    <w:basedOn w:val="CommentTextChar"/>
    <w:link w:val="CommentSubject"/>
    <w:uiPriority w:val="99"/>
    <w:semiHidden/>
    <w:rsid w:val="000534BB"/>
    <w:rPr>
      <w:rFonts w:ascii="Tahoma" w:hAnsi="Tahoma" w:cs="Times New Roman"/>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FF05-A770-4D50-BEC6-FF4FE801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7</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Thambiah</dc:creator>
  <cp:keywords/>
  <dc:description/>
  <cp:lastModifiedBy>Ian Wilson</cp:lastModifiedBy>
  <cp:revision>16</cp:revision>
  <dcterms:created xsi:type="dcterms:W3CDTF">2018-03-25T16:59:00Z</dcterms:created>
  <dcterms:modified xsi:type="dcterms:W3CDTF">2018-03-29T01:01:00Z</dcterms:modified>
</cp:coreProperties>
</file>