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4620D" w14:textId="5C677225" w:rsidR="00FC469B" w:rsidRDefault="003964AE" w:rsidP="00FC469B">
      <w:pPr>
        <w:pStyle w:val="zDate"/>
      </w:pPr>
      <w:r>
        <w:t>Wednesday</w:t>
      </w:r>
      <w:r w:rsidR="00FC469B">
        <w:t xml:space="preserve"> </w:t>
      </w:r>
      <w:r>
        <w:t>8</w:t>
      </w:r>
      <w:r w:rsidR="0034588E">
        <w:t xml:space="preserve"> August</w:t>
      </w:r>
      <w:r>
        <w:t xml:space="preserve"> 2018 at 9:00</w:t>
      </w:r>
      <w:r w:rsidR="00FC469B">
        <w:t>am</w:t>
      </w:r>
    </w:p>
    <w:p w14:paraId="5A858E41" w14:textId="2619C7A7" w:rsidR="0034588E" w:rsidRDefault="0034588E" w:rsidP="00FB637F">
      <w:pPr>
        <w:pStyle w:val="BodyText"/>
      </w:pPr>
      <w:r>
        <w:t>Note: these minutes provide a high level record of the position reached and points raised</w:t>
      </w:r>
      <w:r w:rsidR="0077699E">
        <w:t xml:space="preserve"> at the workshop</w:t>
      </w:r>
      <w:r>
        <w:t xml:space="preserve"> to inform First Gas’s design of the gas transmission access code (GTAC)</w:t>
      </w:r>
      <w:r w:rsidR="0077699E">
        <w:t xml:space="preserve">. </w:t>
      </w:r>
    </w:p>
    <w:p w14:paraId="08D23C99" w14:textId="20E30A08" w:rsidR="00E67A7E" w:rsidRPr="00E67A7E" w:rsidRDefault="00DE0D90" w:rsidP="00E67A7E">
      <w:pPr>
        <w:pStyle w:val="Heading4"/>
      </w:pPr>
      <w:r>
        <w:rPr>
          <w:rStyle w:val="normaltextrun"/>
        </w:rPr>
        <w:t>Core terms of interconnection</w:t>
      </w:r>
    </w:p>
    <w:p w14:paraId="67E90FF0" w14:textId="47A064DC" w:rsidR="0086313B" w:rsidRDefault="0086313B" w:rsidP="00E67A7E">
      <w:pPr>
        <w:pStyle w:val="Heading5"/>
        <w:rPr>
          <w:rStyle w:val="normaltextrun"/>
        </w:rPr>
      </w:pPr>
      <w:r>
        <w:rPr>
          <w:rStyle w:val="normaltextrun"/>
        </w:rPr>
        <w:t>Position reached</w:t>
      </w:r>
    </w:p>
    <w:p w14:paraId="1994A94E" w14:textId="34C0EACC" w:rsidR="00213C11" w:rsidRDefault="00213C11" w:rsidP="00167C5F">
      <w:pPr>
        <w:pStyle w:val="BodyText"/>
        <w:numPr>
          <w:ilvl w:val="2"/>
          <w:numId w:val="24"/>
        </w:numPr>
      </w:pPr>
      <w:r>
        <w:t>Records</w:t>
      </w:r>
      <w:r w:rsidR="00D4035D">
        <w:t xml:space="preserve"> of meter tests</w:t>
      </w:r>
      <w:r>
        <w:t xml:space="preserve"> should be a common and essential term</w:t>
      </w:r>
      <w:r w:rsidR="00801BA5">
        <w:t xml:space="preserve"> (</w:t>
      </w:r>
      <w:r w:rsidR="00E30E06">
        <w:t>keeping</w:t>
      </w:r>
      <w:r w:rsidR="00801BA5">
        <w:t xml:space="preserve"> records for 7 years was suggested)</w:t>
      </w:r>
      <w:r w:rsidR="00D4035D">
        <w:t>.</w:t>
      </w:r>
    </w:p>
    <w:p w14:paraId="1B18D58A" w14:textId="77777777" w:rsidR="00E67A7E" w:rsidRDefault="00E67A7E" w:rsidP="00E67A7E">
      <w:pPr>
        <w:pStyle w:val="Heading5"/>
        <w:rPr>
          <w:rStyle w:val="eop"/>
        </w:rPr>
      </w:pPr>
      <w:r w:rsidRPr="00E67A7E">
        <w:rPr>
          <w:rStyle w:val="normaltextrun"/>
        </w:rPr>
        <w:t>Points raised</w:t>
      </w:r>
      <w:r w:rsidRPr="00E67A7E">
        <w:rPr>
          <w:rStyle w:val="eop"/>
        </w:rPr>
        <w:t> </w:t>
      </w:r>
    </w:p>
    <w:p w14:paraId="2C72F8ED" w14:textId="7E0DC6FF" w:rsidR="006B77BC" w:rsidRDefault="0066084D" w:rsidP="00167C5F">
      <w:pPr>
        <w:pStyle w:val="NO1"/>
        <w:numPr>
          <w:ilvl w:val="2"/>
          <w:numId w:val="23"/>
        </w:numPr>
      </w:pPr>
      <w:r>
        <w:t>First Gas to c</w:t>
      </w:r>
      <w:r w:rsidR="009D4344">
        <w:t>heck</w:t>
      </w:r>
      <w:r w:rsidR="006B77BC">
        <w:t xml:space="preserve"> section</w:t>
      </w:r>
      <w:r w:rsidR="002C324A">
        <w:t xml:space="preserve"> 9.9 of the RP</w:t>
      </w:r>
      <w:r w:rsidR="009D4344">
        <w:t xml:space="preserve"> ICA against the Gas Governance (Critical Contingency Management) Regulations (</w:t>
      </w:r>
      <w:r w:rsidR="00C311AE">
        <w:t xml:space="preserve">having regard to the fact that </w:t>
      </w:r>
      <w:r w:rsidR="006B77BC">
        <w:t xml:space="preserve">the </w:t>
      </w:r>
      <w:r w:rsidR="009D4344">
        <w:t>critical contingency operator</w:t>
      </w:r>
      <w:r w:rsidR="009336A3">
        <w:t xml:space="preserve"> (CCO)</w:t>
      </w:r>
      <w:r w:rsidR="009D4344">
        <w:t xml:space="preserve"> </w:t>
      </w:r>
      <w:r w:rsidR="00C311AE">
        <w:t>can’t instruct a receipt point</w:t>
      </w:r>
      <w:r w:rsidR="00E30E06">
        <w:t xml:space="preserve"> IP</w:t>
      </w:r>
      <w:r w:rsidR="009D4344">
        <w:t>).</w:t>
      </w:r>
    </w:p>
    <w:p w14:paraId="087AE1F7" w14:textId="430FE70C" w:rsidR="006B77BC" w:rsidRDefault="004A3DDF" w:rsidP="00167C5F">
      <w:pPr>
        <w:pStyle w:val="NO1"/>
        <w:numPr>
          <w:ilvl w:val="2"/>
          <w:numId w:val="23"/>
        </w:numPr>
      </w:pPr>
      <w:r>
        <w:t>First Gas to c</w:t>
      </w:r>
      <w:r w:rsidR="009336A3">
        <w:t xml:space="preserve">heck </w:t>
      </w:r>
      <w:r>
        <w:t xml:space="preserve">the </w:t>
      </w:r>
      <w:r w:rsidR="009336A3">
        <w:t>consistency</w:t>
      </w:r>
      <w:r w:rsidR="0066084D">
        <w:t xml:space="preserve"> of shut-down under the GTAC </w:t>
      </w:r>
      <w:r w:rsidR="009336A3">
        <w:t xml:space="preserve">with the CCO flow profiles (i.e. </w:t>
      </w:r>
      <w:r w:rsidR="0066084D">
        <w:t xml:space="preserve">the profiles </w:t>
      </w:r>
      <w:r w:rsidR="009336A3">
        <w:t>should generally apply to provide certainty)</w:t>
      </w:r>
      <w:r w:rsidR="0066084D">
        <w:t>.</w:t>
      </w:r>
    </w:p>
    <w:p w14:paraId="7ED5E9A1" w14:textId="097FEEF4" w:rsidR="00213C11" w:rsidRPr="00213C11" w:rsidRDefault="0066084D" w:rsidP="00167C5F">
      <w:pPr>
        <w:pStyle w:val="NO1"/>
        <w:numPr>
          <w:ilvl w:val="2"/>
          <w:numId w:val="23"/>
        </w:numPr>
      </w:pPr>
      <w:r>
        <w:t>First Gas to c</w:t>
      </w:r>
      <w:r w:rsidR="009336A3">
        <w:t>heck the preference and priority between shi</w:t>
      </w:r>
      <w:r>
        <w:t>pper</w:t>
      </w:r>
      <w:r w:rsidR="00C15961">
        <w:t>s</w:t>
      </w:r>
      <w:r>
        <w:t xml:space="preserve"> and </w:t>
      </w:r>
      <w:r w:rsidR="00E30E06">
        <w:t>IPs</w:t>
      </w:r>
      <w:r>
        <w:t xml:space="preserve"> (i.e. w</w:t>
      </w:r>
      <w:r w:rsidR="009336A3">
        <w:t>hat stops First Gas from discriminating in favour of shipp</w:t>
      </w:r>
      <w:r>
        <w:t xml:space="preserve">ers over </w:t>
      </w:r>
      <w:r w:rsidR="00E30E06">
        <w:t>IPs</w:t>
      </w:r>
      <w:r>
        <w:t>?)</w:t>
      </w:r>
      <w:r w:rsidR="00E30E06">
        <w:t>.</w:t>
      </w:r>
    </w:p>
    <w:p w14:paraId="1D14A843" w14:textId="77777777" w:rsidR="009336A3" w:rsidRDefault="009336A3" w:rsidP="009336A3">
      <w:pPr>
        <w:pStyle w:val="Heading4"/>
        <w:rPr>
          <w:rStyle w:val="normaltextrun"/>
        </w:rPr>
      </w:pPr>
      <w:r>
        <w:rPr>
          <w:rStyle w:val="normaltextrun"/>
        </w:rPr>
        <w:t>OFOs/Curtailment</w:t>
      </w:r>
    </w:p>
    <w:p w14:paraId="3C87E43D" w14:textId="77777777" w:rsidR="009336A3" w:rsidRDefault="009336A3" w:rsidP="009336A3">
      <w:pPr>
        <w:pStyle w:val="Heading5"/>
        <w:rPr>
          <w:rStyle w:val="normaltextrun"/>
        </w:rPr>
      </w:pPr>
      <w:r w:rsidRPr="005276CA">
        <w:rPr>
          <w:rStyle w:val="normaltextrun"/>
        </w:rPr>
        <w:t>FAP finding</w:t>
      </w:r>
      <w:r>
        <w:rPr>
          <w:rStyle w:val="normaltextrun"/>
        </w:rPr>
        <w:t>s</w:t>
      </w:r>
    </w:p>
    <w:p w14:paraId="189E5589" w14:textId="5B1C64D4" w:rsidR="0066084D" w:rsidRDefault="009336A3" w:rsidP="00167C5F">
      <w:pPr>
        <w:pStyle w:val="NO1"/>
        <w:numPr>
          <w:ilvl w:val="2"/>
          <w:numId w:val="25"/>
        </w:numPr>
      </w:pPr>
      <w:r>
        <w:t xml:space="preserve">Deemed non RPO </w:t>
      </w:r>
      <w:r w:rsidR="00E30E06">
        <w:t>for</w:t>
      </w:r>
      <w:r>
        <w:t xml:space="preserve"> fail</w:t>
      </w:r>
      <w:r w:rsidR="00E30E06">
        <w:t>ure</w:t>
      </w:r>
      <w:r>
        <w:t xml:space="preserve"> to comply with </w:t>
      </w:r>
      <w:r w:rsidR="00E30E06">
        <w:t xml:space="preserve">an </w:t>
      </w:r>
      <w:r>
        <w:t>OFO</w:t>
      </w:r>
      <w:r w:rsidR="00E30E06">
        <w:t xml:space="preserve"> may be unfair</w:t>
      </w:r>
      <w:r>
        <w:t xml:space="preserve"> (21) (alongside liabilities </w:t>
      </w:r>
      <w:proofErr w:type="spellStart"/>
      <w:r>
        <w:t>workstream</w:t>
      </w:r>
      <w:proofErr w:type="spellEnd"/>
      <w:r>
        <w:t>)</w:t>
      </w:r>
    </w:p>
    <w:p w14:paraId="69797523" w14:textId="19FDD36A" w:rsidR="009336A3" w:rsidRPr="00213C11" w:rsidRDefault="009336A3" w:rsidP="00167C5F">
      <w:pPr>
        <w:pStyle w:val="NO1"/>
        <w:numPr>
          <w:ilvl w:val="2"/>
          <w:numId w:val="25"/>
        </w:numPr>
      </w:pPr>
      <w:r>
        <w:t>Adverse timing implications of replacing MPOC section 15.2 with option for shippers to request an extra intra-day cycle under GTAC 4.18 (22)</w:t>
      </w:r>
    </w:p>
    <w:p w14:paraId="738FAF81" w14:textId="77777777" w:rsidR="009336A3" w:rsidRDefault="009336A3" w:rsidP="009336A3">
      <w:pPr>
        <w:pStyle w:val="Heading5"/>
        <w:rPr>
          <w:rStyle w:val="eop"/>
        </w:rPr>
      </w:pPr>
      <w:r w:rsidRPr="005276CA">
        <w:rPr>
          <w:rStyle w:val="normaltextrun"/>
        </w:rPr>
        <w:t>Points raised</w:t>
      </w:r>
      <w:r w:rsidRPr="005276CA">
        <w:rPr>
          <w:rStyle w:val="eop"/>
        </w:rPr>
        <w:t> </w:t>
      </w:r>
    </w:p>
    <w:p w14:paraId="75995312" w14:textId="6B54EF8E" w:rsidR="00AF25CD" w:rsidRDefault="00AF25CD" w:rsidP="00167C5F">
      <w:pPr>
        <w:pStyle w:val="NO1"/>
        <w:numPr>
          <w:ilvl w:val="2"/>
          <w:numId w:val="26"/>
        </w:numPr>
      </w:pPr>
      <w:r>
        <w:t>Fi</w:t>
      </w:r>
      <w:r w:rsidR="00A3343E">
        <w:t>rst Gas to consider requiring receipt point</w:t>
      </w:r>
      <w:r w:rsidR="00560C75">
        <w:t xml:space="preserve"> nominations from shippers/</w:t>
      </w:r>
      <w:r w:rsidR="00E30E06">
        <w:t>IPs</w:t>
      </w:r>
      <w:r w:rsidR="00560C75">
        <w:t xml:space="preserve"> that do not want to have OBAs.</w:t>
      </w:r>
    </w:p>
    <w:p w14:paraId="710E12E5" w14:textId="31452740" w:rsidR="001E1D46" w:rsidRDefault="00AF25CD" w:rsidP="00167C5F">
      <w:pPr>
        <w:pStyle w:val="NO1"/>
        <w:numPr>
          <w:ilvl w:val="2"/>
          <w:numId w:val="26"/>
        </w:numPr>
      </w:pPr>
      <w:r>
        <w:t>First Gas to c</w:t>
      </w:r>
      <w:r w:rsidR="00560C75">
        <w:t xml:space="preserve">onfirm </w:t>
      </w:r>
      <w:r>
        <w:t xml:space="preserve">whether the new </w:t>
      </w:r>
      <w:r w:rsidR="00560C75">
        <w:t xml:space="preserve">IT </w:t>
      </w:r>
      <w:r>
        <w:t xml:space="preserve">system will have </w:t>
      </w:r>
      <w:r w:rsidR="00560C75">
        <w:t>functionality for producers to auto-accept/auto-reject</w:t>
      </w:r>
      <w:r w:rsidR="001E1D46">
        <w:t xml:space="preserve"> nominations by contract and</w:t>
      </w:r>
      <w:r w:rsidR="00560C75">
        <w:t xml:space="preserve"> nominations cycle.</w:t>
      </w:r>
    </w:p>
    <w:p w14:paraId="65CF8E27" w14:textId="6CF641B0" w:rsidR="00021CC7" w:rsidRDefault="001E1D46" w:rsidP="00167C5F">
      <w:pPr>
        <w:pStyle w:val="NO1"/>
        <w:numPr>
          <w:ilvl w:val="2"/>
          <w:numId w:val="26"/>
        </w:numPr>
      </w:pPr>
      <w:r>
        <w:t>First Gas to c</w:t>
      </w:r>
      <w:r w:rsidR="008A1C30">
        <w:t>onsider adding pro</w:t>
      </w:r>
      <w:r>
        <w:t xml:space="preserve"> </w:t>
      </w:r>
      <w:r w:rsidR="00EA56F3">
        <w:t>forma D+1 data</w:t>
      </w:r>
      <w:r w:rsidR="00212D9D">
        <w:t xml:space="preserve"> to</w:t>
      </w:r>
      <w:r w:rsidR="00EA56F3">
        <w:t xml:space="preserve"> the information that must be provided under the GTAC</w:t>
      </w:r>
      <w:r>
        <w:t>.</w:t>
      </w:r>
    </w:p>
    <w:p w14:paraId="2D40EFA9" w14:textId="77777777" w:rsidR="00F35C57" w:rsidRDefault="00021CC7" w:rsidP="00167C5F">
      <w:pPr>
        <w:pStyle w:val="NO1"/>
        <w:numPr>
          <w:ilvl w:val="2"/>
          <w:numId w:val="26"/>
        </w:numPr>
      </w:pPr>
      <w:r>
        <w:t>First Gas to c</w:t>
      </w:r>
      <w:r w:rsidR="00212D9D">
        <w:t xml:space="preserve">onsider reducing the timeframes for responding to extra intra-day cycles to 30 minutes (to open) and 30 minutes (to respond). First Gas to confirm </w:t>
      </w:r>
      <w:r>
        <w:t xml:space="preserve">whether that fits with its </w:t>
      </w:r>
      <w:r w:rsidR="00212D9D">
        <w:t>IT</w:t>
      </w:r>
      <w:r>
        <w:t xml:space="preserve"> system</w:t>
      </w:r>
      <w:r w:rsidR="00212D9D">
        <w:t xml:space="preserve"> capability. </w:t>
      </w:r>
    </w:p>
    <w:p w14:paraId="156E6A39" w14:textId="347712EC" w:rsidR="005D6E99" w:rsidRDefault="005D6E99" w:rsidP="00167C5F">
      <w:pPr>
        <w:pStyle w:val="NO1"/>
        <w:numPr>
          <w:ilvl w:val="2"/>
          <w:numId w:val="26"/>
        </w:numPr>
      </w:pPr>
      <w:r>
        <w:lastRenderedPageBreak/>
        <w:t>First Gas to c</w:t>
      </w:r>
      <w:r w:rsidR="00212D9D">
        <w:t>onsider extending the ability to call extra intra-day cycle</w:t>
      </w:r>
      <w:r>
        <w:t>s</w:t>
      </w:r>
      <w:r w:rsidR="00212D9D">
        <w:t xml:space="preserve"> </w:t>
      </w:r>
      <w:r w:rsidR="00BB28DE">
        <w:t xml:space="preserve">to all </w:t>
      </w:r>
      <w:r w:rsidR="00E30E06">
        <w:t>IPs</w:t>
      </w:r>
      <w:r w:rsidR="00BB28DE">
        <w:t xml:space="preserve"> (n</w:t>
      </w:r>
      <w:r w:rsidR="00212D9D">
        <w:t>ot just those with an OBA).</w:t>
      </w:r>
    </w:p>
    <w:p w14:paraId="5DA078E7" w14:textId="1F83C533" w:rsidR="005D6E99" w:rsidRDefault="00612E31" w:rsidP="00167C5F">
      <w:pPr>
        <w:pStyle w:val="NO1"/>
        <w:numPr>
          <w:ilvl w:val="2"/>
          <w:numId w:val="26"/>
        </w:numPr>
      </w:pPr>
      <w:r>
        <w:t>First Gas to c</w:t>
      </w:r>
      <w:r w:rsidR="00212D9D">
        <w:t>onsider the link between flow to nominations and receipt point nominations made by shippers.</w:t>
      </w:r>
      <w:r w:rsidR="00560C75">
        <w:t xml:space="preserve"> </w:t>
      </w:r>
    </w:p>
    <w:p w14:paraId="6492408B" w14:textId="268BE8AC" w:rsidR="00F72F26" w:rsidRDefault="009B5C56" w:rsidP="00167C5F">
      <w:pPr>
        <w:pStyle w:val="NO1"/>
        <w:numPr>
          <w:ilvl w:val="2"/>
          <w:numId w:val="26"/>
        </w:numPr>
      </w:pPr>
      <w:r>
        <w:t>First Gas to l</w:t>
      </w:r>
      <w:r w:rsidR="00F72F26">
        <w:t>ook at options for com</w:t>
      </w:r>
      <w:r>
        <w:t>municating OFOs (</w:t>
      </w:r>
      <w:r w:rsidR="00BB28DE">
        <w:t xml:space="preserve">in its </w:t>
      </w:r>
      <w:r>
        <w:t xml:space="preserve">curtailment </w:t>
      </w:r>
      <w:r w:rsidR="00BB28DE">
        <w:t>SO</w:t>
      </w:r>
      <w:r w:rsidR="00F72F26">
        <w:t>Ps)</w:t>
      </w:r>
      <w:r>
        <w:t>.</w:t>
      </w:r>
    </w:p>
    <w:p w14:paraId="1A7DE38B" w14:textId="6A8F1932" w:rsidR="00DE0D90" w:rsidRDefault="00DE0D90" w:rsidP="00E67A7E">
      <w:pPr>
        <w:pStyle w:val="Heading4"/>
        <w:rPr>
          <w:rStyle w:val="normaltextrun"/>
        </w:rPr>
      </w:pPr>
      <w:r>
        <w:rPr>
          <w:rStyle w:val="normaltextrun"/>
        </w:rPr>
        <w:t>Commerce Act</w:t>
      </w:r>
    </w:p>
    <w:p w14:paraId="0D8C84B4" w14:textId="77777777" w:rsidR="00DE0D90" w:rsidRDefault="00DE0D90" w:rsidP="00DE0D90">
      <w:pPr>
        <w:pStyle w:val="Heading5"/>
        <w:rPr>
          <w:rStyle w:val="normaltextrun"/>
        </w:rPr>
      </w:pPr>
      <w:r>
        <w:rPr>
          <w:rStyle w:val="normaltextrun"/>
        </w:rPr>
        <w:t>Position reached</w:t>
      </w:r>
    </w:p>
    <w:p w14:paraId="719F1AC3" w14:textId="4A5583F2" w:rsidR="005533CF" w:rsidRPr="009B5C56" w:rsidRDefault="009B5C56" w:rsidP="00167C5F">
      <w:pPr>
        <w:pStyle w:val="NO1"/>
        <w:numPr>
          <w:ilvl w:val="2"/>
          <w:numId w:val="27"/>
        </w:numPr>
      </w:pPr>
      <w:r>
        <w:t xml:space="preserve">Stakeholders asked Gas Industry Co to circulate the Commerce Commission’s published information relating to trade associations. </w:t>
      </w:r>
    </w:p>
    <w:p w14:paraId="07E5BFE4" w14:textId="61ABA0F7" w:rsidR="00D51962" w:rsidRDefault="00DE0D90" w:rsidP="00D51962">
      <w:pPr>
        <w:pStyle w:val="Heading5"/>
        <w:rPr>
          <w:rStyle w:val="eop"/>
        </w:rPr>
      </w:pPr>
      <w:r w:rsidRPr="00E67A7E">
        <w:rPr>
          <w:rStyle w:val="normaltextrun"/>
        </w:rPr>
        <w:t>Points raised</w:t>
      </w:r>
      <w:r w:rsidRPr="00E67A7E">
        <w:rPr>
          <w:rStyle w:val="eop"/>
        </w:rPr>
        <w:t> </w:t>
      </w:r>
    </w:p>
    <w:p w14:paraId="104B2117" w14:textId="5E38BE45" w:rsidR="00D51962" w:rsidRPr="00D51962" w:rsidRDefault="00D51962" w:rsidP="00167C5F">
      <w:pPr>
        <w:pStyle w:val="NO1"/>
        <w:numPr>
          <w:ilvl w:val="2"/>
          <w:numId w:val="28"/>
        </w:numPr>
      </w:pPr>
      <w:r>
        <w:t xml:space="preserve">Stakeholders interested in receiving advice on Commerce Act risks should consider the </w:t>
      </w:r>
      <w:r w:rsidR="00E30E06">
        <w:t>best</w:t>
      </w:r>
      <w:r>
        <w:t xml:space="preserve"> time </w:t>
      </w:r>
      <w:r w:rsidR="00E30E06">
        <w:t>to seek such</w:t>
      </w:r>
      <w:r>
        <w:t xml:space="preserve"> advice.</w:t>
      </w:r>
    </w:p>
    <w:p w14:paraId="3B7097A1" w14:textId="7A69DE1B" w:rsidR="00DE0D90" w:rsidRDefault="00DE0D90" w:rsidP="00E67A7E">
      <w:pPr>
        <w:pStyle w:val="Heading4"/>
        <w:rPr>
          <w:rStyle w:val="normaltextrun"/>
        </w:rPr>
      </w:pPr>
      <w:r>
        <w:rPr>
          <w:rStyle w:val="normaltextrun"/>
        </w:rPr>
        <w:t>Liabilities Framework</w:t>
      </w:r>
    </w:p>
    <w:p w14:paraId="1A024756" w14:textId="77777777" w:rsidR="0077699E" w:rsidRDefault="00E67A7E" w:rsidP="005276CA">
      <w:pPr>
        <w:pStyle w:val="Heading5"/>
        <w:rPr>
          <w:rStyle w:val="normaltextrun"/>
        </w:rPr>
      </w:pPr>
      <w:r w:rsidRPr="005276CA">
        <w:rPr>
          <w:rStyle w:val="normaltextrun"/>
        </w:rPr>
        <w:t>FAP finding</w:t>
      </w:r>
      <w:r w:rsidR="0077699E">
        <w:rPr>
          <w:rStyle w:val="normaltextrun"/>
        </w:rPr>
        <w:t>s</w:t>
      </w:r>
    </w:p>
    <w:p w14:paraId="074DCB4A" w14:textId="77777777" w:rsidR="008E2893" w:rsidRDefault="00212D9D" w:rsidP="00167C5F">
      <w:pPr>
        <w:pStyle w:val="NO1"/>
        <w:numPr>
          <w:ilvl w:val="2"/>
          <w:numId w:val="29"/>
        </w:numPr>
      </w:pPr>
      <w:r>
        <w:t>Concerns expressed about subrogated claims provisions (16.12) and exclusion of liability for third party losses in context of non-spec gas (16.2) (184)</w:t>
      </w:r>
    </w:p>
    <w:p w14:paraId="307D624D" w14:textId="77777777" w:rsidR="008E2893" w:rsidRDefault="00212D9D" w:rsidP="00167C5F">
      <w:pPr>
        <w:pStyle w:val="NO1"/>
        <w:numPr>
          <w:ilvl w:val="2"/>
          <w:numId w:val="29"/>
        </w:numPr>
      </w:pPr>
      <w:r>
        <w:t>Inability to take action on behalf of another party and First Gas in relation to the same event</w:t>
      </w:r>
    </w:p>
    <w:p w14:paraId="6881CB29" w14:textId="5DA0C8FC" w:rsidR="008E2893" w:rsidRDefault="007229B3" w:rsidP="00167C5F">
      <w:pPr>
        <w:pStyle w:val="NO1"/>
        <w:numPr>
          <w:ilvl w:val="2"/>
          <w:numId w:val="29"/>
        </w:numPr>
      </w:pPr>
      <w:r>
        <w:t xml:space="preserve">GTAC s7 requires the liability arrangements in GTAC s16 to be reflected in ICAs. </w:t>
      </w:r>
      <w:r w:rsidR="00780B18">
        <w:t>T</w:t>
      </w:r>
      <w:r>
        <w:t xml:space="preserve">hat approach does not take into account differences in the obligations that apply to </w:t>
      </w:r>
      <w:r w:rsidR="00780B18">
        <w:t xml:space="preserve">shippers and </w:t>
      </w:r>
      <w:r w:rsidR="00E30E06">
        <w:t>IPs</w:t>
      </w:r>
      <w:r>
        <w:t xml:space="preserve">. Some of the obligations that apply to </w:t>
      </w:r>
      <w:r w:rsidR="00E30E06">
        <w:t>IPs</w:t>
      </w:r>
      <w:r>
        <w:t xml:space="preserve"> will require exclusions and limits on liability that are different to s16 of the GTAC</w:t>
      </w:r>
    </w:p>
    <w:p w14:paraId="7A7213AE" w14:textId="1615AC33" w:rsidR="008E2893" w:rsidRDefault="007229B3" w:rsidP="00167C5F">
      <w:pPr>
        <w:pStyle w:val="NO1"/>
        <w:numPr>
          <w:ilvl w:val="2"/>
          <w:numId w:val="29"/>
        </w:numPr>
      </w:pPr>
      <w:r>
        <w:t xml:space="preserve">GTAC s1.1. </w:t>
      </w:r>
      <w:proofErr w:type="gramStart"/>
      <w:r>
        <w:t>definition</w:t>
      </w:r>
      <w:proofErr w:type="gramEnd"/>
      <w:r>
        <w:t xml:space="preserve"> of “Reasonable and Prudent Operator”. Reference to “having due consideration to other users of the Transmission System” may increase the scope for dispute</w:t>
      </w:r>
      <w:r w:rsidR="00E30E06">
        <w:t>,</w:t>
      </w:r>
      <w:r>
        <w:t xml:space="preserve"> give</w:t>
      </w:r>
      <w:r w:rsidR="00E30E06">
        <w:t>n</w:t>
      </w:r>
      <w:r>
        <w:t xml:space="preserve"> the vagueness of that concept</w:t>
      </w:r>
    </w:p>
    <w:p w14:paraId="7B849E57" w14:textId="35B73AC9" w:rsidR="008E2893" w:rsidRDefault="007229B3" w:rsidP="00167C5F">
      <w:pPr>
        <w:pStyle w:val="NO1"/>
        <w:numPr>
          <w:ilvl w:val="2"/>
          <w:numId w:val="29"/>
        </w:numPr>
      </w:pPr>
      <w:r>
        <w:t>Unless it can be shown that First Gas caused gas to become Non- Specification Gas, GTAC s12.11 effectively excludes any liability that First Gas may have for loss that a Shipper suffers in relation to the taking of Non-Specification Gas (whether the RPO standard has been breached or not)</w:t>
      </w:r>
    </w:p>
    <w:p w14:paraId="08DB9869" w14:textId="77777777" w:rsidR="008E2893" w:rsidRDefault="00C557FF" w:rsidP="00167C5F">
      <w:pPr>
        <w:pStyle w:val="NO1"/>
        <w:numPr>
          <w:ilvl w:val="2"/>
          <w:numId w:val="29"/>
        </w:numPr>
      </w:pPr>
      <w:r>
        <w:t>GTAC ss16.4 and 16.5 “Capped Liability”. The liability caps under the GTAC appear to be adopted from the MPOC and the VTC. However, that does not take into account the fact that the caps in the MPOC and VTC have been adjusted for inflation on an annual basis since the commencement of those codes</w:t>
      </w:r>
    </w:p>
    <w:p w14:paraId="14F00BFE" w14:textId="77777777" w:rsidR="008E2893" w:rsidRDefault="00B65F65" w:rsidP="00167C5F">
      <w:pPr>
        <w:pStyle w:val="NO1"/>
        <w:numPr>
          <w:ilvl w:val="2"/>
          <w:numId w:val="29"/>
        </w:numPr>
      </w:pPr>
      <w:r>
        <w:t>GTAC s16.2 “Limitation of a Party’s Liability”. This does not carve out liability for the injection of Non-Specification Gas (or other relevant liabilities) from the general exclusion of liability to third parties</w:t>
      </w:r>
    </w:p>
    <w:p w14:paraId="7E2C29A8" w14:textId="77777777" w:rsidR="008E2893" w:rsidRDefault="00B65F65" w:rsidP="00167C5F">
      <w:pPr>
        <w:pStyle w:val="NO1"/>
        <w:numPr>
          <w:ilvl w:val="2"/>
          <w:numId w:val="29"/>
        </w:numPr>
      </w:pPr>
      <w:r w:rsidRPr="00B65F65">
        <w:t>GTAC s16.12 “Subrogated Claims”</w:t>
      </w:r>
      <w:r w:rsidR="005E6FA3">
        <w:t>.</w:t>
      </w:r>
      <w:r>
        <w:t xml:space="preserve"> Concerns as to effectiveness of new provision. In any event, not an improvement on current codes</w:t>
      </w:r>
    </w:p>
    <w:p w14:paraId="70D058D7" w14:textId="7C4B4C0D" w:rsidR="008E2893" w:rsidRDefault="005E6FA3" w:rsidP="00167C5F">
      <w:pPr>
        <w:pStyle w:val="NO1"/>
        <w:numPr>
          <w:ilvl w:val="2"/>
          <w:numId w:val="29"/>
        </w:numPr>
      </w:pPr>
      <w:r>
        <w:lastRenderedPageBreak/>
        <w:t xml:space="preserve">MPOC s14 and s12.4 “Incentives Pool” and VTC s8 “Balancing and Peaking Pool”. There is no equivalent to the liquidated damages mechanism in the MPOC and the VTC if a Shipper or Welded Party is unable to offtake gas due to the actions of another Shipper or Welded Party. This risk remains under the GTAC, but the equivalent mechanism for a Shipper or </w:t>
      </w:r>
      <w:r w:rsidR="00E30E06">
        <w:t>IP</w:t>
      </w:r>
      <w:r>
        <w:t xml:space="preserve"> to recover loss under the GTAC is unclear.</w:t>
      </w:r>
    </w:p>
    <w:p w14:paraId="67BD6980" w14:textId="77777777" w:rsidR="008E2893" w:rsidRDefault="005E6FA3" w:rsidP="00167C5F">
      <w:pPr>
        <w:pStyle w:val="NO1"/>
        <w:numPr>
          <w:ilvl w:val="2"/>
          <w:numId w:val="29"/>
        </w:numPr>
      </w:pPr>
      <w:r w:rsidRPr="005E6FA3">
        <w:t>GTAC s16.1 and various references</w:t>
      </w:r>
      <w:r>
        <w:t xml:space="preserve">. There are various references to “reasonable endeavours” and “to the fullest extent practicable” in the context of the obligation to mitigate loss. This looks to be a </w:t>
      </w:r>
      <w:bookmarkStart w:id="0" w:name="_GoBack"/>
      <w:bookmarkEnd w:id="0"/>
      <w:r>
        <w:t>consistency issue arising from the adoption of the VTC drafting for some provisions, while new drafting has been inserted for others</w:t>
      </w:r>
    </w:p>
    <w:p w14:paraId="211373EA" w14:textId="688537E7" w:rsidR="005E6FA3" w:rsidRDefault="005E6FA3" w:rsidP="00167C5F">
      <w:pPr>
        <w:pStyle w:val="NO1"/>
        <w:numPr>
          <w:ilvl w:val="2"/>
          <w:numId w:val="29"/>
        </w:numPr>
      </w:pPr>
      <w:r>
        <w:t xml:space="preserve">GTAC ss16.1, 9.12(b), 11.9(b), 12.2, 12.10 and ICAs. The use of the RPO standard has been modified in the GTAC when compared to the MPOC and the VTC. Under the MPOC and the VTC the need to establish a breach to the standard of an RPO was only avoided in the case of the provisions regarding Non-Specification Gas (which is not the case under the GTAC), </w:t>
      </w:r>
      <w:proofErr w:type="spellStart"/>
      <w:r>
        <w:t>not</w:t>
      </w:r>
      <w:proofErr w:type="spellEnd"/>
      <w:r>
        <w:t xml:space="preserve"> other provisions. We think that exclusions from the need to establish a breach of the RPO standard should be reconsidered</w:t>
      </w:r>
    </w:p>
    <w:p w14:paraId="0B645460" w14:textId="77777777" w:rsidR="00E67A7E" w:rsidRDefault="00E67A7E" w:rsidP="005276CA">
      <w:pPr>
        <w:pStyle w:val="Heading5"/>
        <w:rPr>
          <w:rStyle w:val="eop"/>
        </w:rPr>
      </w:pPr>
      <w:r w:rsidRPr="005276CA">
        <w:rPr>
          <w:rStyle w:val="normaltextrun"/>
        </w:rPr>
        <w:t>Position reached</w:t>
      </w:r>
      <w:r w:rsidRPr="005276CA">
        <w:rPr>
          <w:rStyle w:val="eop"/>
        </w:rPr>
        <w:t> </w:t>
      </w:r>
    </w:p>
    <w:p w14:paraId="3AC018F2" w14:textId="7AAAC954" w:rsidR="00312F84" w:rsidRPr="00312F84" w:rsidRDefault="00312F84" w:rsidP="00312F84">
      <w:pPr>
        <w:pStyle w:val="NO1"/>
        <w:numPr>
          <w:ilvl w:val="2"/>
          <w:numId w:val="30"/>
        </w:numPr>
      </w:pPr>
      <w:r>
        <w:t xml:space="preserve">First Gas to provide detailed drafting of the liability arrangements for discussion at the workshop on 22 and 23 August. </w:t>
      </w:r>
    </w:p>
    <w:p w14:paraId="766464BD" w14:textId="77777777" w:rsidR="00E67A7E" w:rsidRDefault="00E67A7E" w:rsidP="005276CA">
      <w:pPr>
        <w:pStyle w:val="Heading5"/>
        <w:rPr>
          <w:rStyle w:val="eop"/>
        </w:rPr>
      </w:pPr>
      <w:r w:rsidRPr="005276CA">
        <w:rPr>
          <w:rStyle w:val="normaltextrun"/>
        </w:rPr>
        <w:t>Points raised</w:t>
      </w:r>
      <w:r w:rsidRPr="005276CA">
        <w:rPr>
          <w:rStyle w:val="eop"/>
        </w:rPr>
        <w:t> </w:t>
      </w:r>
    </w:p>
    <w:p w14:paraId="23952080" w14:textId="6FB18D20" w:rsidR="008B55D7" w:rsidRDefault="00432843" w:rsidP="00F72F26">
      <w:pPr>
        <w:pStyle w:val="NO1"/>
        <w:numPr>
          <w:ilvl w:val="2"/>
          <w:numId w:val="31"/>
        </w:numPr>
      </w:pPr>
      <w:r>
        <w:t>First Gas to c</w:t>
      </w:r>
      <w:r w:rsidR="00F72F26">
        <w:t xml:space="preserve">onsider adding First Gas to the definition of an RPO (alongside shippers and </w:t>
      </w:r>
      <w:r w:rsidR="00E30E06">
        <w:t>IPs</w:t>
      </w:r>
      <w:r w:rsidR="00F72F26">
        <w:t>)</w:t>
      </w:r>
    </w:p>
    <w:p w14:paraId="53BB6D99" w14:textId="2B0C9BFA" w:rsidR="00312F84" w:rsidRPr="00F72F26" w:rsidRDefault="005F5A6A" w:rsidP="00F72F26">
      <w:pPr>
        <w:pStyle w:val="NO1"/>
        <w:numPr>
          <w:ilvl w:val="2"/>
          <w:numId w:val="31"/>
        </w:numPr>
      </w:pPr>
      <w:r>
        <w:t xml:space="preserve">Gas Industry Co to provide further detail regarding its concerns with the “vagueness” of the RPO standard as expressed in the FAP. </w:t>
      </w:r>
    </w:p>
    <w:p w14:paraId="74ABD58E" w14:textId="661B4A41" w:rsidR="00DE0D90" w:rsidRDefault="00DE0D90" w:rsidP="00DE0D90">
      <w:pPr>
        <w:pStyle w:val="Heading4"/>
        <w:rPr>
          <w:rStyle w:val="normaltextrun"/>
        </w:rPr>
      </w:pPr>
      <w:r>
        <w:rPr>
          <w:rStyle w:val="normaltextrun"/>
        </w:rPr>
        <w:t xml:space="preserve">Associated </w:t>
      </w:r>
      <w:r w:rsidR="007229B3">
        <w:rPr>
          <w:rStyle w:val="normaltextrun"/>
        </w:rPr>
        <w:t>documents</w:t>
      </w:r>
    </w:p>
    <w:p w14:paraId="07593C24" w14:textId="77777777" w:rsidR="000378F8" w:rsidRDefault="000378F8" w:rsidP="000378F8">
      <w:pPr>
        <w:pStyle w:val="Heading5"/>
        <w:rPr>
          <w:rStyle w:val="eop"/>
        </w:rPr>
      </w:pPr>
      <w:r w:rsidRPr="005276CA">
        <w:rPr>
          <w:rStyle w:val="normaltextrun"/>
        </w:rPr>
        <w:t>Points raised</w:t>
      </w:r>
      <w:r w:rsidRPr="005276CA">
        <w:rPr>
          <w:rStyle w:val="eop"/>
        </w:rPr>
        <w:t> </w:t>
      </w:r>
    </w:p>
    <w:p w14:paraId="04A965B9" w14:textId="77777777" w:rsidR="00757619" w:rsidRDefault="00432843" w:rsidP="000378F8">
      <w:pPr>
        <w:pStyle w:val="NO1"/>
        <w:numPr>
          <w:ilvl w:val="2"/>
          <w:numId w:val="32"/>
        </w:numPr>
      </w:pPr>
      <w:r>
        <w:t>First Ga</w:t>
      </w:r>
      <w:r w:rsidR="008A6443">
        <w:t>s to consider the inclusion of</w:t>
      </w:r>
      <w:r>
        <w:t xml:space="preserve"> “d</w:t>
      </w:r>
      <w:r w:rsidR="000378F8">
        <w:t>evelopable capacity</w:t>
      </w:r>
      <w:r>
        <w:t>”</w:t>
      </w:r>
      <w:r w:rsidR="008A6443">
        <w:t xml:space="preserve"> in the GTAC as per the MPOC</w:t>
      </w:r>
      <w:r>
        <w:t xml:space="preserve"> </w:t>
      </w:r>
      <w:r w:rsidR="008A6443">
        <w:t>(</w:t>
      </w:r>
      <w:r>
        <w:t>third party development of the transmission system when First Gas does not want to undertake the development</w:t>
      </w:r>
      <w:r w:rsidR="008A6443">
        <w:t>)</w:t>
      </w:r>
      <w:r>
        <w:t xml:space="preserve">. </w:t>
      </w:r>
    </w:p>
    <w:p w14:paraId="0564EA41" w14:textId="71B025FF" w:rsidR="000378F8" w:rsidRPr="000378F8" w:rsidRDefault="00432843" w:rsidP="000378F8">
      <w:pPr>
        <w:pStyle w:val="NO1"/>
        <w:numPr>
          <w:ilvl w:val="2"/>
          <w:numId w:val="32"/>
        </w:numPr>
      </w:pPr>
      <w:r>
        <w:t xml:space="preserve">First Gas to consider the inclusion of a requirement in the </w:t>
      </w:r>
      <w:r w:rsidR="000378F8">
        <w:t xml:space="preserve">GTAC </w:t>
      </w:r>
      <w:r>
        <w:t>that First Gas</w:t>
      </w:r>
      <w:r w:rsidR="00895702">
        <w:t xml:space="preserve"> always maintain an interconnection p</w:t>
      </w:r>
      <w:r w:rsidR="000378F8">
        <w:t xml:space="preserve">olicy. </w:t>
      </w:r>
    </w:p>
    <w:p w14:paraId="5C9C5669" w14:textId="77777777" w:rsidR="00DE0D90" w:rsidRDefault="00DE0D90" w:rsidP="00DE0D90">
      <w:pPr>
        <w:pStyle w:val="BodyText"/>
      </w:pPr>
    </w:p>
    <w:p w14:paraId="65DACEB0" w14:textId="16381792" w:rsidR="00A63318" w:rsidRPr="00DE0D90" w:rsidRDefault="00A63318" w:rsidP="00DE0D90">
      <w:pPr>
        <w:pStyle w:val="BodyText"/>
      </w:pPr>
      <w:r>
        <w:t>The meeting closed at 3.30pm</w:t>
      </w:r>
    </w:p>
    <w:p w14:paraId="5C978B47" w14:textId="77777777" w:rsidR="0090521A" w:rsidRDefault="0090521A" w:rsidP="00C26F32">
      <w:pPr>
        <w:pStyle w:val="zFiller"/>
      </w:pPr>
    </w:p>
    <w:sectPr w:rsidR="0090521A" w:rsidSect="0041386D">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418" w:header="567" w:footer="68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239B7" w14:textId="77777777" w:rsidR="00BD4334" w:rsidRDefault="00BD4334">
      <w:r>
        <w:separator/>
      </w:r>
    </w:p>
  </w:endnote>
  <w:endnote w:type="continuationSeparator" w:id="0">
    <w:p w14:paraId="45E88695" w14:textId="77777777" w:rsidR="00BD4334" w:rsidRDefault="00BD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712CE" w14:textId="77777777" w:rsidR="00F96101" w:rsidRDefault="00F96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49FB" w14:textId="3B9A5F3A" w:rsidR="008B12A4" w:rsidRPr="00603BCF" w:rsidRDefault="008B12A4" w:rsidP="0052408F">
    <w:pPr>
      <w:pStyle w:val="Footer"/>
    </w:pPr>
    <w:r w:rsidRPr="003204D2">
      <w:fldChar w:fldCharType="begin"/>
    </w:r>
    <w:r w:rsidRPr="003204D2">
      <w:instrText xml:space="preserve"> PAGE </w:instrText>
    </w:r>
    <w:r w:rsidRPr="003204D2">
      <w:fldChar w:fldCharType="separate"/>
    </w:r>
    <w:r w:rsidR="001F5D79">
      <w:rPr>
        <w:noProof/>
      </w:rPr>
      <w:t>3</w:t>
    </w:r>
    <w:r w:rsidRPr="003204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06527"/>
      <w:docPartObj>
        <w:docPartGallery w:val="Page Numbers (Bottom of Page)"/>
        <w:docPartUnique/>
      </w:docPartObj>
    </w:sdtPr>
    <w:sdtEndPr>
      <w:rPr>
        <w:noProof/>
      </w:rPr>
    </w:sdtEndPr>
    <w:sdtContent>
      <w:p w14:paraId="0B64CCCF" w14:textId="64482765" w:rsidR="008B12A4" w:rsidRDefault="008B12A4">
        <w:pPr>
          <w:pStyle w:val="Footer"/>
        </w:pPr>
        <w:r>
          <w:fldChar w:fldCharType="begin"/>
        </w:r>
        <w:r>
          <w:instrText xml:space="preserve"> PAGE   \* MERGEFORMAT </w:instrText>
        </w:r>
        <w:r>
          <w:fldChar w:fldCharType="separate"/>
        </w:r>
        <w:r w:rsidR="001F5D7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EA2B3" w14:textId="77777777" w:rsidR="00BD4334" w:rsidRDefault="00BD4334">
      <w:r>
        <w:separator/>
      </w:r>
    </w:p>
  </w:footnote>
  <w:footnote w:type="continuationSeparator" w:id="0">
    <w:p w14:paraId="14F0929B" w14:textId="77777777" w:rsidR="00BD4334" w:rsidRDefault="00BD4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DEB7F" w14:textId="77777777" w:rsidR="00F96101" w:rsidRDefault="00F96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843F" w14:textId="77777777" w:rsidR="00F96101" w:rsidRDefault="00F961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2293" w14:textId="23757B2F" w:rsidR="008B12A4" w:rsidRPr="00BB6B5D" w:rsidRDefault="001F5D79" w:rsidP="006D1357">
    <w:pPr>
      <w:pStyle w:val="zTitle"/>
    </w:pPr>
    <w:sdt>
      <w:sdtPr>
        <w:id w:val="-897891665"/>
        <w:docPartObj>
          <w:docPartGallery w:val="Watermarks"/>
          <w:docPartUnique/>
        </w:docPartObj>
      </w:sdtPr>
      <w:sdtEndPr/>
      <w:sdtContent>
        <w:r>
          <w:rPr>
            <w:noProof/>
            <w:lang w:val="en-US"/>
          </w:rPr>
          <w:pict w14:anchorId="18E3B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B12A4">
      <w:t>GTAC Workshop</w:t>
    </w:r>
    <w:r w:rsidR="000615B9">
      <w:t xml:space="preserve"> minutes</w:t>
    </w:r>
    <w:r w:rsidR="00D23370">
      <w:t xml:space="preserve"> 8</w:t>
    </w:r>
    <w:r w:rsidR="0034588E">
      <w:t xml:space="preserve"> August</w:t>
    </w:r>
    <w:r w:rsidR="008B12A4">
      <w:t xml:space="preserve"> 2018</w:t>
    </w:r>
  </w:p>
  <w:p w14:paraId="6C7B3E9C" w14:textId="77777777" w:rsidR="008B12A4" w:rsidRPr="00BB6B5D" w:rsidRDefault="008B12A4" w:rsidP="006D1357">
    <w:pPr>
      <w:pStyle w:val="zTitle"/>
    </w:pPr>
    <w:r w:rsidRPr="00BB6B5D">
      <w:t>At the offices of Gas Industry Company Limited</w:t>
    </w:r>
  </w:p>
  <w:p w14:paraId="4F1DE560" w14:textId="77777777" w:rsidR="008B12A4" w:rsidRPr="006D1357" w:rsidRDefault="008B12A4" w:rsidP="006D1357">
    <w:pPr>
      <w:pStyle w:val="zTitle"/>
    </w:pPr>
    <w:r w:rsidRPr="006D1357">
      <w:t>Level 8, 95 Customhouse Quay, Wellington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2"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6E86FE5"/>
    <w:multiLevelType w:val="multilevel"/>
    <w:tmpl w:val="2AC085D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1CED5714"/>
    <w:multiLevelType w:val="multilevel"/>
    <w:tmpl w:val="BEA41EF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2C0152"/>
    <w:multiLevelType w:val="multilevel"/>
    <w:tmpl w:val="8F66CE1C"/>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6E72E7"/>
    <w:multiLevelType w:val="multilevel"/>
    <w:tmpl w:val="9B9ACC8C"/>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1A168C"/>
    <w:multiLevelType w:val="multilevel"/>
    <w:tmpl w:val="48D6A4F0"/>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3" w15:restartNumberingAfterBreak="0">
    <w:nsid w:val="4BC507A6"/>
    <w:multiLevelType w:val="multilevel"/>
    <w:tmpl w:val="1EDC36E6"/>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D6B5A47"/>
    <w:multiLevelType w:val="hybridMultilevel"/>
    <w:tmpl w:val="FC2A7ED2"/>
    <w:lvl w:ilvl="0" w:tplc="CD7ED8DE">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30083"/>
    <w:multiLevelType w:val="multilevel"/>
    <w:tmpl w:val="A5DEC44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CF078B"/>
    <w:multiLevelType w:val="multilevel"/>
    <w:tmpl w:val="23CCBF48"/>
    <w:styleLink w:val="LISTzABC"/>
    <w:lvl w:ilvl="0">
      <w:start w:val="1"/>
      <w:numFmt w:val="upperLetter"/>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7F233C1"/>
    <w:multiLevelType w:val="multilevel"/>
    <w:tmpl w:val="1D80FD6A"/>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8" w15:restartNumberingAfterBreak="0">
    <w:nsid w:val="5EA8292C"/>
    <w:multiLevelType w:val="multilevel"/>
    <w:tmpl w:val="6F5A4D62"/>
    <w:lvl w:ilvl="0">
      <w:start w:val="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0AA2DF6"/>
    <w:multiLevelType w:val="multilevel"/>
    <w:tmpl w:val="D696EE0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21" w15:restartNumberingAfterBreak="0">
    <w:nsid w:val="66E5286A"/>
    <w:multiLevelType w:val="multilevel"/>
    <w:tmpl w:val="23CCBF48"/>
    <w:numStyleLink w:val="LISTzABC"/>
  </w:abstractNum>
  <w:abstractNum w:abstractNumId="22"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3"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24" w15:restartNumberingAfterBreak="0">
    <w:nsid w:val="73462253"/>
    <w:multiLevelType w:val="multilevel"/>
    <w:tmpl w:val="1AF20E18"/>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DD6FCE"/>
    <w:multiLevelType w:val="multilevel"/>
    <w:tmpl w:val="0BA61E9C"/>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
  </w:num>
  <w:num w:numId="2">
    <w:abstractNumId w:val="2"/>
  </w:num>
  <w:num w:numId="3">
    <w:abstractNumId w:val="3"/>
  </w:num>
  <w:num w:numId="4">
    <w:abstractNumId w:val="0"/>
  </w:num>
  <w:num w:numId="5">
    <w:abstractNumId w:val="8"/>
  </w:num>
  <w:num w:numId="6">
    <w:abstractNumId w:val="26"/>
  </w:num>
  <w:num w:numId="7">
    <w:abstractNumId w:val="16"/>
  </w:num>
  <w:num w:numId="8">
    <w:abstractNumId w:val="2"/>
  </w:num>
  <w:num w:numId="9">
    <w:abstractNumId w:val="22"/>
  </w:num>
  <w:num w:numId="10">
    <w:abstractNumId w:val="23"/>
  </w:num>
  <w:num w:numId="11">
    <w:abstractNumId w:val="14"/>
  </w:num>
  <w:num w:numId="12">
    <w:abstractNumId w:val="12"/>
  </w:num>
  <w:num w:numId="13">
    <w:abstractNumId w:val="20"/>
  </w:num>
  <w:num w:numId="14">
    <w:abstractNumId w:val="9"/>
  </w:num>
  <w:num w:numId="15">
    <w:abstractNumId w:val="21"/>
  </w:num>
  <w:num w:numId="16">
    <w:abstractNumId w:val="3"/>
  </w:num>
  <w:num w:numId="17">
    <w:abstractNumId w:val="4"/>
  </w:num>
  <w:num w:numId="18">
    <w:abstractNumId w:val="11"/>
  </w:num>
  <w:num w:numId="19">
    <w:abstractNumId w:val="0"/>
  </w:num>
  <w:num w:numId="20">
    <w:abstractNumId w:val="8"/>
  </w:num>
  <w:num w:numId="21">
    <w:abstractNumId w:val="26"/>
  </w:num>
  <w:num w:numId="22">
    <w:abstractNumId w:val="17"/>
  </w:num>
  <w:num w:numId="23">
    <w:abstractNumId w:val="24"/>
  </w:num>
  <w:num w:numId="24">
    <w:abstractNumId w:val="19"/>
  </w:num>
  <w:num w:numId="25">
    <w:abstractNumId w:val="5"/>
  </w:num>
  <w:num w:numId="26">
    <w:abstractNumId w:val="13"/>
  </w:num>
  <w:num w:numId="27">
    <w:abstractNumId w:val="15"/>
  </w:num>
  <w:num w:numId="28">
    <w:abstractNumId w:val="7"/>
  </w:num>
  <w:num w:numId="29">
    <w:abstractNumId w:val="10"/>
  </w:num>
  <w:num w:numId="30">
    <w:abstractNumId w:val="6"/>
  </w:num>
  <w:num w:numId="31">
    <w:abstractNumId w:val="18"/>
  </w:num>
  <w:num w:numId="32">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A4"/>
    <w:rsid w:val="00001CB3"/>
    <w:rsid w:val="0000368F"/>
    <w:rsid w:val="000049C1"/>
    <w:rsid w:val="000152A4"/>
    <w:rsid w:val="000179C0"/>
    <w:rsid w:val="00021CC7"/>
    <w:rsid w:val="00022821"/>
    <w:rsid w:val="00024FC3"/>
    <w:rsid w:val="00025597"/>
    <w:rsid w:val="000339B5"/>
    <w:rsid w:val="000378F8"/>
    <w:rsid w:val="0004155C"/>
    <w:rsid w:val="000442BD"/>
    <w:rsid w:val="000615B9"/>
    <w:rsid w:val="00062949"/>
    <w:rsid w:val="0009248B"/>
    <w:rsid w:val="00092840"/>
    <w:rsid w:val="000B1CE2"/>
    <w:rsid w:val="000C79C9"/>
    <w:rsid w:val="000D260A"/>
    <w:rsid w:val="000D40C7"/>
    <w:rsid w:val="000D46A5"/>
    <w:rsid w:val="000E2D79"/>
    <w:rsid w:val="000E4924"/>
    <w:rsid w:val="000F2A87"/>
    <w:rsid w:val="001010D2"/>
    <w:rsid w:val="001035C0"/>
    <w:rsid w:val="00125C83"/>
    <w:rsid w:val="00131A91"/>
    <w:rsid w:val="00146AC4"/>
    <w:rsid w:val="0016141D"/>
    <w:rsid w:val="0016255F"/>
    <w:rsid w:val="00167C5F"/>
    <w:rsid w:val="00172A0F"/>
    <w:rsid w:val="00172C3F"/>
    <w:rsid w:val="00173D81"/>
    <w:rsid w:val="0018633B"/>
    <w:rsid w:val="001A2465"/>
    <w:rsid w:val="001A3C5B"/>
    <w:rsid w:val="001B4CFF"/>
    <w:rsid w:val="001D6DBC"/>
    <w:rsid w:val="001E1D46"/>
    <w:rsid w:val="001F14DD"/>
    <w:rsid w:val="001F39AE"/>
    <w:rsid w:val="001F5D79"/>
    <w:rsid w:val="00212D9D"/>
    <w:rsid w:val="00213C11"/>
    <w:rsid w:val="00222ADA"/>
    <w:rsid w:val="00224054"/>
    <w:rsid w:val="00231556"/>
    <w:rsid w:val="00243546"/>
    <w:rsid w:val="00251594"/>
    <w:rsid w:val="0027610B"/>
    <w:rsid w:val="00290549"/>
    <w:rsid w:val="002947C2"/>
    <w:rsid w:val="002A05F8"/>
    <w:rsid w:val="002A5512"/>
    <w:rsid w:val="002A5D36"/>
    <w:rsid w:val="002A5E0D"/>
    <w:rsid w:val="002C1F54"/>
    <w:rsid w:val="002C324A"/>
    <w:rsid w:val="002C67E8"/>
    <w:rsid w:val="002C7232"/>
    <w:rsid w:val="002D4366"/>
    <w:rsid w:val="002D6ADA"/>
    <w:rsid w:val="002E3AA9"/>
    <w:rsid w:val="002E53A9"/>
    <w:rsid w:val="002E6A47"/>
    <w:rsid w:val="00304AA7"/>
    <w:rsid w:val="00306C9E"/>
    <w:rsid w:val="00307F22"/>
    <w:rsid w:val="00312F84"/>
    <w:rsid w:val="003140C4"/>
    <w:rsid w:val="003204D2"/>
    <w:rsid w:val="003259F2"/>
    <w:rsid w:val="00332948"/>
    <w:rsid w:val="0033370B"/>
    <w:rsid w:val="003376AE"/>
    <w:rsid w:val="00340F59"/>
    <w:rsid w:val="00344349"/>
    <w:rsid w:val="0034588E"/>
    <w:rsid w:val="00350239"/>
    <w:rsid w:val="00360C1F"/>
    <w:rsid w:val="00370166"/>
    <w:rsid w:val="00376F72"/>
    <w:rsid w:val="00383BEE"/>
    <w:rsid w:val="0039044F"/>
    <w:rsid w:val="00394526"/>
    <w:rsid w:val="003964AE"/>
    <w:rsid w:val="003A18A3"/>
    <w:rsid w:val="003A3847"/>
    <w:rsid w:val="003A5308"/>
    <w:rsid w:val="003A5F57"/>
    <w:rsid w:val="003A7482"/>
    <w:rsid w:val="003B2CD6"/>
    <w:rsid w:val="003B3BF9"/>
    <w:rsid w:val="003C4245"/>
    <w:rsid w:val="003C49A4"/>
    <w:rsid w:val="003D170F"/>
    <w:rsid w:val="003E1404"/>
    <w:rsid w:val="003E2D55"/>
    <w:rsid w:val="003F198D"/>
    <w:rsid w:val="003F2AA3"/>
    <w:rsid w:val="00402BDC"/>
    <w:rsid w:val="004111FE"/>
    <w:rsid w:val="004128BD"/>
    <w:rsid w:val="0041386D"/>
    <w:rsid w:val="004245BB"/>
    <w:rsid w:val="00426229"/>
    <w:rsid w:val="00432843"/>
    <w:rsid w:val="00450ADD"/>
    <w:rsid w:val="0045141C"/>
    <w:rsid w:val="00464861"/>
    <w:rsid w:val="00471E4F"/>
    <w:rsid w:val="00477DCC"/>
    <w:rsid w:val="00481955"/>
    <w:rsid w:val="00481B86"/>
    <w:rsid w:val="00485EC4"/>
    <w:rsid w:val="00494367"/>
    <w:rsid w:val="004A3DDF"/>
    <w:rsid w:val="004B0DD6"/>
    <w:rsid w:val="004B1258"/>
    <w:rsid w:val="004B2E25"/>
    <w:rsid w:val="004B614B"/>
    <w:rsid w:val="004D2813"/>
    <w:rsid w:val="004D7D83"/>
    <w:rsid w:val="004E0665"/>
    <w:rsid w:val="004E2271"/>
    <w:rsid w:val="004E30B9"/>
    <w:rsid w:val="004F3C21"/>
    <w:rsid w:val="00504F39"/>
    <w:rsid w:val="0050546D"/>
    <w:rsid w:val="00514E0B"/>
    <w:rsid w:val="00516917"/>
    <w:rsid w:val="005170EC"/>
    <w:rsid w:val="00517204"/>
    <w:rsid w:val="00523D92"/>
    <w:rsid w:val="0052408F"/>
    <w:rsid w:val="005276CA"/>
    <w:rsid w:val="00530301"/>
    <w:rsid w:val="00532AE1"/>
    <w:rsid w:val="0053356B"/>
    <w:rsid w:val="00537CC9"/>
    <w:rsid w:val="00551436"/>
    <w:rsid w:val="005518E9"/>
    <w:rsid w:val="005533CF"/>
    <w:rsid w:val="00560C75"/>
    <w:rsid w:val="00574BDB"/>
    <w:rsid w:val="005802A4"/>
    <w:rsid w:val="005932AB"/>
    <w:rsid w:val="00595307"/>
    <w:rsid w:val="005A10A2"/>
    <w:rsid w:val="005A5A14"/>
    <w:rsid w:val="005A790E"/>
    <w:rsid w:val="005B463E"/>
    <w:rsid w:val="005C44F2"/>
    <w:rsid w:val="005C60CA"/>
    <w:rsid w:val="005D027A"/>
    <w:rsid w:val="005D6E99"/>
    <w:rsid w:val="005E6FA3"/>
    <w:rsid w:val="005F0A34"/>
    <w:rsid w:val="005F1733"/>
    <w:rsid w:val="005F4551"/>
    <w:rsid w:val="005F5A6A"/>
    <w:rsid w:val="005F5D9F"/>
    <w:rsid w:val="00602C2D"/>
    <w:rsid w:val="00603BCF"/>
    <w:rsid w:val="00611370"/>
    <w:rsid w:val="00612E31"/>
    <w:rsid w:val="006163FC"/>
    <w:rsid w:val="00622988"/>
    <w:rsid w:val="00623797"/>
    <w:rsid w:val="006304E5"/>
    <w:rsid w:val="00631579"/>
    <w:rsid w:val="006326FE"/>
    <w:rsid w:val="00633CD8"/>
    <w:rsid w:val="00642D82"/>
    <w:rsid w:val="00643349"/>
    <w:rsid w:val="0066084D"/>
    <w:rsid w:val="00660CA5"/>
    <w:rsid w:val="00662221"/>
    <w:rsid w:val="00665825"/>
    <w:rsid w:val="00675CA6"/>
    <w:rsid w:val="006868CF"/>
    <w:rsid w:val="006955D2"/>
    <w:rsid w:val="006A1169"/>
    <w:rsid w:val="006A2E7F"/>
    <w:rsid w:val="006B6E3A"/>
    <w:rsid w:val="006B77BC"/>
    <w:rsid w:val="006D1357"/>
    <w:rsid w:val="006D251A"/>
    <w:rsid w:val="006E2876"/>
    <w:rsid w:val="006F026D"/>
    <w:rsid w:val="006F0B21"/>
    <w:rsid w:val="006F13AF"/>
    <w:rsid w:val="006F5F4A"/>
    <w:rsid w:val="007023A5"/>
    <w:rsid w:val="0070397A"/>
    <w:rsid w:val="00705918"/>
    <w:rsid w:val="007075E5"/>
    <w:rsid w:val="007148A9"/>
    <w:rsid w:val="007229B3"/>
    <w:rsid w:val="0073486D"/>
    <w:rsid w:val="00742E7E"/>
    <w:rsid w:val="00745B4A"/>
    <w:rsid w:val="00755A6D"/>
    <w:rsid w:val="00756057"/>
    <w:rsid w:val="00757619"/>
    <w:rsid w:val="007578C8"/>
    <w:rsid w:val="007661A8"/>
    <w:rsid w:val="00773DAB"/>
    <w:rsid w:val="007746DB"/>
    <w:rsid w:val="0077699E"/>
    <w:rsid w:val="00780B18"/>
    <w:rsid w:val="007A01AB"/>
    <w:rsid w:val="007A6123"/>
    <w:rsid w:val="007A770E"/>
    <w:rsid w:val="007B0EE2"/>
    <w:rsid w:val="007D3253"/>
    <w:rsid w:val="00801BA5"/>
    <w:rsid w:val="008172CD"/>
    <w:rsid w:val="0082631D"/>
    <w:rsid w:val="0083050D"/>
    <w:rsid w:val="008305B4"/>
    <w:rsid w:val="0083525F"/>
    <w:rsid w:val="00836253"/>
    <w:rsid w:val="00837291"/>
    <w:rsid w:val="008415DE"/>
    <w:rsid w:val="008418B1"/>
    <w:rsid w:val="008463BB"/>
    <w:rsid w:val="00847581"/>
    <w:rsid w:val="008514EA"/>
    <w:rsid w:val="0086313B"/>
    <w:rsid w:val="00866795"/>
    <w:rsid w:val="00876758"/>
    <w:rsid w:val="00880285"/>
    <w:rsid w:val="00883D22"/>
    <w:rsid w:val="00890C0A"/>
    <w:rsid w:val="00895702"/>
    <w:rsid w:val="008A1C30"/>
    <w:rsid w:val="008A6443"/>
    <w:rsid w:val="008B12A4"/>
    <w:rsid w:val="008B55D7"/>
    <w:rsid w:val="008B6CB5"/>
    <w:rsid w:val="008B789F"/>
    <w:rsid w:val="008C496E"/>
    <w:rsid w:val="008C7269"/>
    <w:rsid w:val="008D677E"/>
    <w:rsid w:val="008D694A"/>
    <w:rsid w:val="008E2893"/>
    <w:rsid w:val="008E2C27"/>
    <w:rsid w:val="008E666D"/>
    <w:rsid w:val="008E6856"/>
    <w:rsid w:val="008E7E57"/>
    <w:rsid w:val="00901FF6"/>
    <w:rsid w:val="00902774"/>
    <w:rsid w:val="00902FC6"/>
    <w:rsid w:val="0090521A"/>
    <w:rsid w:val="00914260"/>
    <w:rsid w:val="009171D1"/>
    <w:rsid w:val="0092229D"/>
    <w:rsid w:val="009256A5"/>
    <w:rsid w:val="00931625"/>
    <w:rsid w:val="009336A3"/>
    <w:rsid w:val="00935959"/>
    <w:rsid w:val="009433BF"/>
    <w:rsid w:val="00943890"/>
    <w:rsid w:val="00950EA3"/>
    <w:rsid w:val="00955FE0"/>
    <w:rsid w:val="00971660"/>
    <w:rsid w:val="00983FB8"/>
    <w:rsid w:val="00983FCB"/>
    <w:rsid w:val="00986B08"/>
    <w:rsid w:val="00995558"/>
    <w:rsid w:val="009B37EA"/>
    <w:rsid w:val="009B5C56"/>
    <w:rsid w:val="009C20D6"/>
    <w:rsid w:val="009C2C7A"/>
    <w:rsid w:val="009C49C8"/>
    <w:rsid w:val="009C4CB6"/>
    <w:rsid w:val="009D4344"/>
    <w:rsid w:val="009E7086"/>
    <w:rsid w:val="009F7D8D"/>
    <w:rsid w:val="00A02057"/>
    <w:rsid w:val="00A3343E"/>
    <w:rsid w:val="00A37817"/>
    <w:rsid w:val="00A4110C"/>
    <w:rsid w:val="00A42C72"/>
    <w:rsid w:val="00A462E2"/>
    <w:rsid w:val="00A604AE"/>
    <w:rsid w:val="00A60674"/>
    <w:rsid w:val="00A61966"/>
    <w:rsid w:val="00A61BFD"/>
    <w:rsid w:val="00A63318"/>
    <w:rsid w:val="00A63406"/>
    <w:rsid w:val="00A70425"/>
    <w:rsid w:val="00A9503E"/>
    <w:rsid w:val="00A95C3B"/>
    <w:rsid w:val="00AA35BB"/>
    <w:rsid w:val="00AA564F"/>
    <w:rsid w:val="00AD06C6"/>
    <w:rsid w:val="00AE4283"/>
    <w:rsid w:val="00AE75E8"/>
    <w:rsid w:val="00AF25CD"/>
    <w:rsid w:val="00B00331"/>
    <w:rsid w:val="00B0392B"/>
    <w:rsid w:val="00B0775E"/>
    <w:rsid w:val="00B11940"/>
    <w:rsid w:val="00B139B7"/>
    <w:rsid w:val="00B13B18"/>
    <w:rsid w:val="00B14644"/>
    <w:rsid w:val="00B16453"/>
    <w:rsid w:val="00B20F4C"/>
    <w:rsid w:val="00B23449"/>
    <w:rsid w:val="00B4209F"/>
    <w:rsid w:val="00B56379"/>
    <w:rsid w:val="00B60D98"/>
    <w:rsid w:val="00B65F65"/>
    <w:rsid w:val="00B7112D"/>
    <w:rsid w:val="00B71B63"/>
    <w:rsid w:val="00B7485D"/>
    <w:rsid w:val="00B810AB"/>
    <w:rsid w:val="00B867F1"/>
    <w:rsid w:val="00B91A58"/>
    <w:rsid w:val="00BA0CC7"/>
    <w:rsid w:val="00BA528D"/>
    <w:rsid w:val="00BB28DE"/>
    <w:rsid w:val="00BB2FC2"/>
    <w:rsid w:val="00BB6B5D"/>
    <w:rsid w:val="00BC07DD"/>
    <w:rsid w:val="00BC1B9A"/>
    <w:rsid w:val="00BD384A"/>
    <w:rsid w:val="00BD4334"/>
    <w:rsid w:val="00BE06D5"/>
    <w:rsid w:val="00BE238F"/>
    <w:rsid w:val="00BE644A"/>
    <w:rsid w:val="00BF32D4"/>
    <w:rsid w:val="00C05FDD"/>
    <w:rsid w:val="00C10BA8"/>
    <w:rsid w:val="00C15961"/>
    <w:rsid w:val="00C22967"/>
    <w:rsid w:val="00C26F32"/>
    <w:rsid w:val="00C311AE"/>
    <w:rsid w:val="00C345F7"/>
    <w:rsid w:val="00C373DA"/>
    <w:rsid w:val="00C41E46"/>
    <w:rsid w:val="00C44C8E"/>
    <w:rsid w:val="00C521BC"/>
    <w:rsid w:val="00C5412D"/>
    <w:rsid w:val="00C557FF"/>
    <w:rsid w:val="00C57278"/>
    <w:rsid w:val="00C660C5"/>
    <w:rsid w:val="00C66E83"/>
    <w:rsid w:val="00C713C3"/>
    <w:rsid w:val="00C74F30"/>
    <w:rsid w:val="00C94671"/>
    <w:rsid w:val="00CA06F0"/>
    <w:rsid w:val="00CA0E07"/>
    <w:rsid w:val="00CB003E"/>
    <w:rsid w:val="00CB13DD"/>
    <w:rsid w:val="00CB3D35"/>
    <w:rsid w:val="00CC1037"/>
    <w:rsid w:val="00CC77A5"/>
    <w:rsid w:val="00CD75B6"/>
    <w:rsid w:val="00CE4B62"/>
    <w:rsid w:val="00CE5918"/>
    <w:rsid w:val="00CE739C"/>
    <w:rsid w:val="00CF4CE3"/>
    <w:rsid w:val="00CF6A0F"/>
    <w:rsid w:val="00D01863"/>
    <w:rsid w:val="00D14C8E"/>
    <w:rsid w:val="00D17696"/>
    <w:rsid w:val="00D1795C"/>
    <w:rsid w:val="00D21338"/>
    <w:rsid w:val="00D227CC"/>
    <w:rsid w:val="00D23370"/>
    <w:rsid w:val="00D27468"/>
    <w:rsid w:val="00D364FB"/>
    <w:rsid w:val="00D4035D"/>
    <w:rsid w:val="00D44A18"/>
    <w:rsid w:val="00D451CF"/>
    <w:rsid w:val="00D51962"/>
    <w:rsid w:val="00D55F6F"/>
    <w:rsid w:val="00D61FAB"/>
    <w:rsid w:val="00D75DC1"/>
    <w:rsid w:val="00D941B1"/>
    <w:rsid w:val="00D9514F"/>
    <w:rsid w:val="00D965C0"/>
    <w:rsid w:val="00DA0BB3"/>
    <w:rsid w:val="00DB1426"/>
    <w:rsid w:val="00DB5B50"/>
    <w:rsid w:val="00DC3CE5"/>
    <w:rsid w:val="00DD441A"/>
    <w:rsid w:val="00DE0D90"/>
    <w:rsid w:val="00DE67C8"/>
    <w:rsid w:val="00DE7060"/>
    <w:rsid w:val="00DF2073"/>
    <w:rsid w:val="00E015BF"/>
    <w:rsid w:val="00E02CAE"/>
    <w:rsid w:val="00E1135C"/>
    <w:rsid w:val="00E276F2"/>
    <w:rsid w:val="00E30E06"/>
    <w:rsid w:val="00E411C3"/>
    <w:rsid w:val="00E41EB3"/>
    <w:rsid w:val="00E4472A"/>
    <w:rsid w:val="00E4708D"/>
    <w:rsid w:val="00E61562"/>
    <w:rsid w:val="00E63DB2"/>
    <w:rsid w:val="00E67A7E"/>
    <w:rsid w:val="00E73F15"/>
    <w:rsid w:val="00E76D67"/>
    <w:rsid w:val="00E86F18"/>
    <w:rsid w:val="00E9009F"/>
    <w:rsid w:val="00E92FE6"/>
    <w:rsid w:val="00E96F45"/>
    <w:rsid w:val="00EA2BCC"/>
    <w:rsid w:val="00EA4321"/>
    <w:rsid w:val="00EA56F3"/>
    <w:rsid w:val="00EC0B10"/>
    <w:rsid w:val="00EC1C48"/>
    <w:rsid w:val="00EC3119"/>
    <w:rsid w:val="00EE411D"/>
    <w:rsid w:val="00EE7602"/>
    <w:rsid w:val="00F00E71"/>
    <w:rsid w:val="00F0465E"/>
    <w:rsid w:val="00F04DC4"/>
    <w:rsid w:val="00F0656C"/>
    <w:rsid w:val="00F11E78"/>
    <w:rsid w:val="00F1332A"/>
    <w:rsid w:val="00F13950"/>
    <w:rsid w:val="00F139EF"/>
    <w:rsid w:val="00F15A26"/>
    <w:rsid w:val="00F22CA3"/>
    <w:rsid w:val="00F35C57"/>
    <w:rsid w:val="00F37429"/>
    <w:rsid w:val="00F63995"/>
    <w:rsid w:val="00F64E98"/>
    <w:rsid w:val="00F72F26"/>
    <w:rsid w:val="00F83ECC"/>
    <w:rsid w:val="00F96101"/>
    <w:rsid w:val="00FB2D41"/>
    <w:rsid w:val="00FB35A4"/>
    <w:rsid w:val="00FB637F"/>
    <w:rsid w:val="00FB6A2D"/>
    <w:rsid w:val="00FC469B"/>
    <w:rsid w:val="00FD4A70"/>
    <w:rsid w:val="00FD561B"/>
    <w:rsid w:val="00FF2922"/>
    <w:rsid w:val="00FF4D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4E7BD3F0"/>
  <w15:docId w15:val="{4A083EF7-BF3F-4CDB-82A9-70A9FE11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9" w:qFormat="1"/>
    <w:lsdException w:name="heading 1" w:uiPriority="17"/>
    <w:lsdException w:name="heading 2" w:uiPriority="17"/>
    <w:lsdException w:name="heading 3" w:uiPriority="17"/>
    <w:lsdException w:name="heading 4" w:uiPriority="0" w:qFormat="1"/>
    <w:lsdException w:name="heading 5" w:uiPriority="0" w:qFormat="1"/>
    <w:lsdException w:name="heading 6" w:uiPriority="29" w:qFormat="1"/>
    <w:lsdException w:name="heading 7" w:semiHidden="1" w:uiPriority="29" w:unhideWhenUsed="1"/>
    <w:lsdException w:name="heading 8" w:semiHidden="1" w:uiPriority="29"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6" w:qFormat="1"/>
    <w:lsdException w:name="annotation text" w:semiHidden="1"/>
    <w:lsdException w:name="header" w:semiHidden="1"/>
    <w:lsdException w:name="footer" w:semiHidden="1" w:unhideWhenUsed="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uiPriority="6"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uiPriority="4" w:qFormat="1"/>
    <w:lsdException w:name="Body Text Indent" w:semiHidden="1" w:uiPriority="4"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6"/>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6"/>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18"/>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6"/>
      </w:numPr>
    </w:pPr>
  </w:style>
  <w:style w:type="paragraph" w:customStyle="1" w:styleId="iPara">
    <w:name w:val="(i) Para"/>
    <w:basedOn w:val="BodyText"/>
    <w:uiPriority w:val="2"/>
    <w:semiHidden/>
    <w:rsid w:val="00537CC9"/>
    <w:pPr>
      <w:numPr>
        <w:ilvl w:val="4"/>
        <w:numId w:val="16"/>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6"/>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styleId="GridTable4-Accent1">
    <w:name w:val="Grid Table 4 Accent 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19"/>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0"/>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1"/>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5"/>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17"/>
      </w:numPr>
    </w:pPr>
  </w:style>
  <w:style w:type="paragraph" w:customStyle="1" w:styleId="NO1">
    <w:name w:val="NO1"/>
    <w:basedOn w:val="Normal"/>
    <w:link w:val="NO1Char"/>
    <w:uiPriority w:val="4"/>
    <w:qFormat/>
    <w:rsid w:val="00A60674"/>
    <w:pPr>
      <w:numPr>
        <w:numId w:val="22"/>
      </w:numPr>
      <w:spacing w:after="120"/>
    </w:pPr>
  </w:style>
  <w:style w:type="character" w:customStyle="1" w:styleId="NO1Char">
    <w:name w:val="NO1 Char"/>
    <w:basedOn w:val="DefaultParagraphFont"/>
    <w:link w:val="NO1"/>
    <w:uiPriority w:val="4"/>
    <w:rsid w:val="00A60674"/>
    <w:rPr>
      <w:rFonts w:ascii="Tahoma" w:eastAsiaTheme="minorHAnsi" w:hAnsi="Tahoma" w:cs="Tahoma"/>
      <w:sz w:val="21"/>
      <w:szCs w:val="22"/>
      <w:lang w:eastAsia="en-US"/>
    </w:rPr>
  </w:style>
  <w:style w:type="paragraph" w:customStyle="1" w:styleId="NO2">
    <w:name w:val="NO2"/>
    <w:basedOn w:val="Normal"/>
    <w:link w:val="NO2Char"/>
    <w:uiPriority w:val="4"/>
    <w:rsid w:val="00A60674"/>
    <w:pPr>
      <w:numPr>
        <w:ilvl w:val="1"/>
        <w:numId w:val="22"/>
      </w:numPr>
      <w:spacing w:after="120"/>
    </w:pPr>
  </w:style>
  <w:style w:type="character" w:customStyle="1" w:styleId="NO2Char">
    <w:name w:val="NO2 Char"/>
    <w:basedOn w:val="DefaultParagraphFont"/>
    <w:link w:val="NO2"/>
    <w:uiPriority w:val="4"/>
    <w:rsid w:val="00A60674"/>
    <w:rPr>
      <w:rFonts w:ascii="Tahoma" w:eastAsiaTheme="minorHAnsi" w:hAnsi="Tahoma" w:cs="Tahoma"/>
      <w:sz w:val="21"/>
      <w:szCs w:val="22"/>
      <w:lang w:eastAsia="en-US"/>
    </w:rPr>
  </w:style>
  <w:style w:type="paragraph" w:customStyle="1" w:styleId="NO3">
    <w:name w:val="NO3"/>
    <w:basedOn w:val="Normal"/>
    <w:link w:val="NO3Char"/>
    <w:uiPriority w:val="4"/>
    <w:rsid w:val="00A60674"/>
    <w:pPr>
      <w:numPr>
        <w:ilvl w:val="2"/>
        <w:numId w:val="22"/>
      </w:numPr>
      <w:spacing w:after="120"/>
    </w:pPr>
  </w:style>
  <w:style w:type="character" w:customStyle="1" w:styleId="NO3Char">
    <w:name w:val="NO3 Char"/>
    <w:basedOn w:val="DefaultParagraphFont"/>
    <w:link w:val="NO3"/>
    <w:uiPriority w:val="4"/>
    <w:rsid w:val="00A60674"/>
    <w:rPr>
      <w:rFonts w:ascii="Tahoma" w:eastAsiaTheme="minorHAnsi" w:hAnsi="Tahoma" w:cs="Tahoma"/>
      <w:sz w:val="21"/>
      <w:szCs w:val="22"/>
      <w:lang w:eastAsia="en-US"/>
    </w:rPr>
  </w:style>
  <w:style w:type="paragraph" w:customStyle="1" w:styleId="SingleSpacedParagraph">
    <w:name w:val="Single Spaced Paragraph"/>
    <w:basedOn w:val="Normal"/>
    <w:uiPriority w:val="3"/>
    <w:rsid w:val="00F22CA3"/>
  </w:style>
  <w:style w:type="paragraph" w:customStyle="1" w:styleId="paragraph">
    <w:name w:val="paragraph"/>
    <w:basedOn w:val="Normal"/>
    <w:rsid w:val="00E67A7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E67A7E"/>
  </w:style>
  <w:style w:type="character" w:customStyle="1" w:styleId="eop">
    <w:name w:val="eop"/>
    <w:basedOn w:val="DefaultParagraphFont"/>
    <w:rsid w:val="00E67A7E"/>
  </w:style>
  <w:style w:type="paragraph" w:styleId="CommentSubject">
    <w:name w:val="annotation subject"/>
    <w:basedOn w:val="CommentText"/>
    <w:next w:val="CommentText"/>
    <w:link w:val="CommentSubjectChar"/>
    <w:uiPriority w:val="99"/>
    <w:semiHidden/>
    <w:rsid w:val="00AE4283"/>
    <w:rPr>
      <w:rFonts w:cs="Tahoma"/>
      <w:b/>
      <w:bCs/>
    </w:rPr>
  </w:style>
  <w:style w:type="character" w:customStyle="1" w:styleId="CommentSubjectChar">
    <w:name w:val="Comment Subject Char"/>
    <w:basedOn w:val="CommentTextChar"/>
    <w:link w:val="CommentSubject"/>
    <w:uiPriority w:val="99"/>
    <w:semiHidden/>
    <w:rsid w:val="00AE4283"/>
    <w:rPr>
      <w:rFonts w:ascii="Tahoma" w:eastAsiaTheme="minorHAnsi" w:hAnsi="Tahoma"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4017">
      <w:bodyDiv w:val="1"/>
      <w:marLeft w:val="0"/>
      <w:marRight w:val="0"/>
      <w:marTop w:val="0"/>
      <w:marBottom w:val="0"/>
      <w:divBdr>
        <w:top w:val="none" w:sz="0" w:space="0" w:color="auto"/>
        <w:left w:val="none" w:sz="0" w:space="0" w:color="auto"/>
        <w:bottom w:val="none" w:sz="0" w:space="0" w:color="auto"/>
        <w:right w:val="none" w:sz="0" w:space="0" w:color="auto"/>
      </w:divBdr>
      <w:divsChild>
        <w:div w:id="1658149119">
          <w:marLeft w:val="0"/>
          <w:marRight w:val="0"/>
          <w:marTop w:val="0"/>
          <w:marBottom w:val="0"/>
          <w:divBdr>
            <w:top w:val="none" w:sz="0" w:space="0" w:color="auto"/>
            <w:left w:val="none" w:sz="0" w:space="0" w:color="auto"/>
            <w:bottom w:val="none" w:sz="0" w:space="0" w:color="auto"/>
            <w:right w:val="none" w:sz="0" w:space="0" w:color="auto"/>
          </w:divBdr>
        </w:div>
        <w:div w:id="1493988827">
          <w:marLeft w:val="0"/>
          <w:marRight w:val="0"/>
          <w:marTop w:val="0"/>
          <w:marBottom w:val="0"/>
          <w:divBdr>
            <w:top w:val="none" w:sz="0" w:space="0" w:color="auto"/>
            <w:left w:val="none" w:sz="0" w:space="0" w:color="auto"/>
            <w:bottom w:val="none" w:sz="0" w:space="0" w:color="auto"/>
            <w:right w:val="none" w:sz="0" w:space="0" w:color="auto"/>
          </w:divBdr>
        </w:div>
        <w:div w:id="2025133565">
          <w:marLeft w:val="0"/>
          <w:marRight w:val="0"/>
          <w:marTop w:val="0"/>
          <w:marBottom w:val="0"/>
          <w:divBdr>
            <w:top w:val="none" w:sz="0" w:space="0" w:color="auto"/>
            <w:left w:val="none" w:sz="0" w:space="0" w:color="auto"/>
            <w:bottom w:val="none" w:sz="0" w:space="0" w:color="auto"/>
            <w:right w:val="none" w:sz="0" w:space="0" w:color="auto"/>
          </w:divBdr>
        </w:div>
        <w:div w:id="491064674">
          <w:marLeft w:val="0"/>
          <w:marRight w:val="0"/>
          <w:marTop w:val="0"/>
          <w:marBottom w:val="0"/>
          <w:divBdr>
            <w:top w:val="none" w:sz="0" w:space="0" w:color="auto"/>
            <w:left w:val="none" w:sz="0" w:space="0" w:color="auto"/>
            <w:bottom w:val="none" w:sz="0" w:space="0" w:color="auto"/>
            <w:right w:val="none" w:sz="0" w:space="0" w:color="auto"/>
          </w:divBdr>
        </w:div>
        <w:div w:id="717316364">
          <w:marLeft w:val="0"/>
          <w:marRight w:val="0"/>
          <w:marTop w:val="0"/>
          <w:marBottom w:val="0"/>
          <w:divBdr>
            <w:top w:val="none" w:sz="0" w:space="0" w:color="auto"/>
            <w:left w:val="none" w:sz="0" w:space="0" w:color="auto"/>
            <w:bottom w:val="none" w:sz="0" w:space="0" w:color="auto"/>
            <w:right w:val="none" w:sz="0" w:space="0" w:color="auto"/>
          </w:divBdr>
        </w:div>
        <w:div w:id="538401974">
          <w:marLeft w:val="0"/>
          <w:marRight w:val="0"/>
          <w:marTop w:val="0"/>
          <w:marBottom w:val="0"/>
          <w:divBdr>
            <w:top w:val="none" w:sz="0" w:space="0" w:color="auto"/>
            <w:left w:val="none" w:sz="0" w:space="0" w:color="auto"/>
            <w:bottom w:val="none" w:sz="0" w:space="0" w:color="auto"/>
            <w:right w:val="none" w:sz="0" w:space="0" w:color="auto"/>
          </w:divBdr>
        </w:div>
        <w:div w:id="1312639255">
          <w:marLeft w:val="0"/>
          <w:marRight w:val="0"/>
          <w:marTop w:val="0"/>
          <w:marBottom w:val="0"/>
          <w:divBdr>
            <w:top w:val="none" w:sz="0" w:space="0" w:color="auto"/>
            <w:left w:val="none" w:sz="0" w:space="0" w:color="auto"/>
            <w:bottom w:val="none" w:sz="0" w:space="0" w:color="auto"/>
            <w:right w:val="none" w:sz="0" w:space="0" w:color="auto"/>
          </w:divBdr>
        </w:div>
        <w:div w:id="565803940">
          <w:marLeft w:val="0"/>
          <w:marRight w:val="0"/>
          <w:marTop w:val="0"/>
          <w:marBottom w:val="0"/>
          <w:divBdr>
            <w:top w:val="none" w:sz="0" w:space="0" w:color="auto"/>
            <w:left w:val="none" w:sz="0" w:space="0" w:color="auto"/>
            <w:bottom w:val="none" w:sz="0" w:space="0" w:color="auto"/>
            <w:right w:val="none" w:sz="0" w:space="0" w:color="auto"/>
          </w:divBdr>
        </w:div>
        <w:div w:id="1782139189">
          <w:marLeft w:val="0"/>
          <w:marRight w:val="0"/>
          <w:marTop w:val="0"/>
          <w:marBottom w:val="0"/>
          <w:divBdr>
            <w:top w:val="none" w:sz="0" w:space="0" w:color="auto"/>
            <w:left w:val="none" w:sz="0" w:space="0" w:color="auto"/>
            <w:bottom w:val="none" w:sz="0" w:space="0" w:color="auto"/>
            <w:right w:val="none" w:sz="0" w:space="0" w:color="auto"/>
          </w:divBdr>
        </w:div>
        <w:div w:id="1289699569">
          <w:marLeft w:val="0"/>
          <w:marRight w:val="0"/>
          <w:marTop w:val="0"/>
          <w:marBottom w:val="0"/>
          <w:divBdr>
            <w:top w:val="none" w:sz="0" w:space="0" w:color="auto"/>
            <w:left w:val="none" w:sz="0" w:space="0" w:color="auto"/>
            <w:bottom w:val="none" w:sz="0" w:space="0" w:color="auto"/>
            <w:right w:val="none" w:sz="0" w:space="0" w:color="auto"/>
          </w:divBdr>
        </w:div>
        <w:div w:id="2136635101">
          <w:marLeft w:val="0"/>
          <w:marRight w:val="0"/>
          <w:marTop w:val="0"/>
          <w:marBottom w:val="0"/>
          <w:divBdr>
            <w:top w:val="none" w:sz="0" w:space="0" w:color="auto"/>
            <w:left w:val="none" w:sz="0" w:space="0" w:color="auto"/>
            <w:bottom w:val="none" w:sz="0" w:space="0" w:color="auto"/>
            <w:right w:val="none" w:sz="0" w:space="0" w:color="auto"/>
          </w:divBdr>
        </w:div>
        <w:div w:id="30571084">
          <w:marLeft w:val="0"/>
          <w:marRight w:val="0"/>
          <w:marTop w:val="0"/>
          <w:marBottom w:val="0"/>
          <w:divBdr>
            <w:top w:val="none" w:sz="0" w:space="0" w:color="auto"/>
            <w:left w:val="none" w:sz="0" w:space="0" w:color="auto"/>
            <w:bottom w:val="none" w:sz="0" w:space="0" w:color="auto"/>
            <w:right w:val="none" w:sz="0" w:space="0" w:color="auto"/>
          </w:divBdr>
        </w:div>
        <w:div w:id="1962106809">
          <w:marLeft w:val="0"/>
          <w:marRight w:val="0"/>
          <w:marTop w:val="0"/>
          <w:marBottom w:val="0"/>
          <w:divBdr>
            <w:top w:val="none" w:sz="0" w:space="0" w:color="auto"/>
            <w:left w:val="none" w:sz="0" w:space="0" w:color="auto"/>
            <w:bottom w:val="none" w:sz="0" w:space="0" w:color="auto"/>
            <w:right w:val="none" w:sz="0" w:space="0" w:color="auto"/>
          </w:divBdr>
        </w:div>
        <w:div w:id="379013462">
          <w:marLeft w:val="0"/>
          <w:marRight w:val="0"/>
          <w:marTop w:val="0"/>
          <w:marBottom w:val="0"/>
          <w:divBdr>
            <w:top w:val="none" w:sz="0" w:space="0" w:color="auto"/>
            <w:left w:val="none" w:sz="0" w:space="0" w:color="auto"/>
            <w:bottom w:val="none" w:sz="0" w:space="0" w:color="auto"/>
            <w:right w:val="none" w:sz="0" w:space="0" w:color="auto"/>
          </w:divBdr>
        </w:div>
        <w:div w:id="384918418">
          <w:marLeft w:val="0"/>
          <w:marRight w:val="0"/>
          <w:marTop w:val="0"/>
          <w:marBottom w:val="0"/>
          <w:divBdr>
            <w:top w:val="none" w:sz="0" w:space="0" w:color="auto"/>
            <w:left w:val="none" w:sz="0" w:space="0" w:color="auto"/>
            <w:bottom w:val="none" w:sz="0" w:space="0" w:color="auto"/>
            <w:right w:val="none" w:sz="0" w:space="0" w:color="auto"/>
          </w:divBdr>
        </w:div>
        <w:div w:id="1984388487">
          <w:marLeft w:val="0"/>
          <w:marRight w:val="0"/>
          <w:marTop w:val="0"/>
          <w:marBottom w:val="0"/>
          <w:divBdr>
            <w:top w:val="none" w:sz="0" w:space="0" w:color="auto"/>
            <w:left w:val="none" w:sz="0" w:space="0" w:color="auto"/>
            <w:bottom w:val="none" w:sz="0" w:space="0" w:color="auto"/>
            <w:right w:val="none" w:sz="0" w:space="0" w:color="auto"/>
          </w:divBdr>
        </w:div>
        <w:div w:id="988091767">
          <w:marLeft w:val="0"/>
          <w:marRight w:val="0"/>
          <w:marTop w:val="0"/>
          <w:marBottom w:val="0"/>
          <w:divBdr>
            <w:top w:val="none" w:sz="0" w:space="0" w:color="auto"/>
            <w:left w:val="none" w:sz="0" w:space="0" w:color="auto"/>
            <w:bottom w:val="none" w:sz="0" w:space="0" w:color="auto"/>
            <w:right w:val="none" w:sz="0" w:space="0" w:color="auto"/>
          </w:divBdr>
        </w:div>
        <w:div w:id="723336824">
          <w:marLeft w:val="0"/>
          <w:marRight w:val="0"/>
          <w:marTop w:val="0"/>
          <w:marBottom w:val="0"/>
          <w:divBdr>
            <w:top w:val="none" w:sz="0" w:space="0" w:color="auto"/>
            <w:left w:val="none" w:sz="0" w:space="0" w:color="auto"/>
            <w:bottom w:val="none" w:sz="0" w:space="0" w:color="auto"/>
            <w:right w:val="none" w:sz="0" w:space="0" w:color="auto"/>
          </w:divBdr>
        </w:div>
        <w:div w:id="167909368">
          <w:marLeft w:val="0"/>
          <w:marRight w:val="0"/>
          <w:marTop w:val="0"/>
          <w:marBottom w:val="0"/>
          <w:divBdr>
            <w:top w:val="none" w:sz="0" w:space="0" w:color="auto"/>
            <w:left w:val="none" w:sz="0" w:space="0" w:color="auto"/>
            <w:bottom w:val="none" w:sz="0" w:space="0" w:color="auto"/>
            <w:right w:val="none" w:sz="0" w:space="0" w:color="auto"/>
          </w:divBdr>
        </w:div>
      </w:divsChild>
    </w:div>
    <w:div w:id="21306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Minutes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2583-C155-46DF-A989-F4BF79345A61}">
  <ds:schemaRefs>
    <ds:schemaRef ds:uri="http://schemas.microsoft.com/office/2006/customDocumentInformationPanel"/>
    <ds:schemaRef ds:uri="http://www.w3.org/2000/xmlns/"/>
  </ds:schemaRefs>
</ds:datastoreItem>
</file>

<file path=customXml/itemProps2.xml><?xml version="1.0" encoding="utf-8"?>
<ds:datastoreItem xmlns:ds="http://schemas.openxmlformats.org/officeDocument/2006/customXml" ds:itemID="{CD85F530-0DD6-4E3A-B323-39F3D83D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ADXMinutes140</Template>
  <TotalTime>470</TotalTime>
  <Pages>3</Pages>
  <Words>1043</Words>
  <Characters>5064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meeting</vt:lpstr>
    </vt:vector>
  </TitlesOfParts>
  <Company>Gas Industry Company Limited</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GTAC Worshop 21 June 2018</dc:subject>
  <dc:creator>Tim Kerr</dc:creator>
  <cp:keywords/>
  <dc:description/>
  <cp:lastModifiedBy>Tim Kerr</cp:lastModifiedBy>
  <cp:revision>45</cp:revision>
  <cp:lastPrinted>2018-06-25T02:33:00Z</cp:lastPrinted>
  <dcterms:created xsi:type="dcterms:W3CDTF">2018-08-09T23:02:00Z</dcterms:created>
  <dcterms:modified xsi:type="dcterms:W3CDTF">2018-08-16T05:45:00Z</dcterms:modified>
</cp:coreProperties>
</file>