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4620D" w14:textId="42293CD1" w:rsidR="00FC469B" w:rsidRDefault="003D02A3" w:rsidP="00FC469B">
      <w:pPr>
        <w:pStyle w:val="zDate"/>
      </w:pPr>
      <w:r>
        <w:t>Thursday</w:t>
      </w:r>
      <w:r w:rsidR="00FC469B">
        <w:t xml:space="preserve"> </w:t>
      </w:r>
      <w:r>
        <w:t>9</w:t>
      </w:r>
      <w:r w:rsidR="0034588E">
        <w:t xml:space="preserve"> August</w:t>
      </w:r>
      <w:r w:rsidR="003964AE">
        <w:t xml:space="preserve"> 2018 at 9:00</w:t>
      </w:r>
      <w:r w:rsidR="00FC469B">
        <w:t>am</w:t>
      </w:r>
    </w:p>
    <w:p w14:paraId="5A858E41" w14:textId="2619C7A7" w:rsidR="0034588E" w:rsidRDefault="0034588E" w:rsidP="00E90C9F">
      <w:pPr>
        <w:pStyle w:val="BodyText"/>
      </w:pPr>
      <w:r>
        <w:t>Note: these minutes provide a high level record of the position reached and points raised</w:t>
      </w:r>
      <w:r w:rsidR="0077699E">
        <w:t xml:space="preserve"> at the workshop</w:t>
      </w:r>
      <w:r>
        <w:t xml:space="preserve"> to inform First Gas’s design of the gas transmission access code (GTAC)</w:t>
      </w:r>
      <w:r w:rsidR="0077699E">
        <w:t xml:space="preserve">. </w:t>
      </w:r>
    </w:p>
    <w:p w14:paraId="08D23C99" w14:textId="7CC50FCF" w:rsidR="00E67A7E" w:rsidRPr="00E67A7E" w:rsidRDefault="002D1C09" w:rsidP="00E67A7E">
      <w:pPr>
        <w:pStyle w:val="Heading4"/>
      </w:pPr>
      <w:r>
        <w:rPr>
          <w:rStyle w:val="normaltextrun"/>
        </w:rPr>
        <w:t>Rebate mechanism</w:t>
      </w:r>
    </w:p>
    <w:p w14:paraId="6314A2A4" w14:textId="6FC10B37" w:rsidR="002C7A8A" w:rsidRDefault="002C7A8A" w:rsidP="00E67A7E">
      <w:pPr>
        <w:pStyle w:val="Heading5"/>
        <w:rPr>
          <w:rStyle w:val="normaltextrun"/>
        </w:rPr>
      </w:pPr>
      <w:r>
        <w:rPr>
          <w:rStyle w:val="normaltextrun"/>
        </w:rPr>
        <w:t>FAP findings</w:t>
      </w:r>
    </w:p>
    <w:p w14:paraId="76187F90" w14:textId="77777777" w:rsidR="002C7A8A" w:rsidRDefault="002C7A8A" w:rsidP="00B37F01">
      <w:pPr>
        <w:pStyle w:val="BodyText"/>
        <w:numPr>
          <w:ilvl w:val="2"/>
          <w:numId w:val="23"/>
        </w:numPr>
      </w:pPr>
      <w:r>
        <w:t>Rebate mechanism worse due to a new entrant coming up against incumbents with rebates (59)</w:t>
      </w:r>
    </w:p>
    <w:p w14:paraId="29B06936" w14:textId="24E2A635" w:rsidR="002C7A8A" w:rsidRPr="002C7A8A" w:rsidRDefault="002C7A8A" w:rsidP="00B37F01">
      <w:pPr>
        <w:pStyle w:val="BodyText"/>
        <w:numPr>
          <w:ilvl w:val="2"/>
          <w:numId w:val="23"/>
        </w:numPr>
      </w:pPr>
      <w:r>
        <w:t>Pass-through of rebates may increase costs to consumers</w:t>
      </w:r>
    </w:p>
    <w:p w14:paraId="67E90FF0" w14:textId="47A064DC" w:rsidR="0086313B" w:rsidRDefault="0086313B" w:rsidP="00E67A7E">
      <w:pPr>
        <w:pStyle w:val="Heading5"/>
        <w:rPr>
          <w:rStyle w:val="normaltextrun"/>
        </w:rPr>
      </w:pPr>
      <w:r>
        <w:rPr>
          <w:rStyle w:val="normaltextrun"/>
        </w:rPr>
        <w:t>Position reached</w:t>
      </w:r>
    </w:p>
    <w:p w14:paraId="430F0507" w14:textId="2F8DD72F" w:rsidR="003D02A3" w:rsidRDefault="00E90C9F" w:rsidP="00B37F01">
      <w:pPr>
        <w:pStyle w:val="BodyText"/>
        <w:numPr>
          <w:ilvl w:val="2"/>
          <w:numId w:val="24"/>
        </w:numPr>
      </w:pPr>
      <w:r>
        <w:t xml:space="preserve">There was general agreement that </w:t>
      </w:r>
      <w:r w:rsidR="003D02A3">
        <w:t>transmission and balancing charges</w:t>
      </w:r>
      <w:r>
        <w:t xml:space="preserve"> would not be subject to a rebate mechanism, but</w:t>
      </w:r>
      <w:r w:rsidR="003D02A3">
        <w:t xml:space="preserve"> PR fees would be rebated.</w:t>
      </w:r>
    </w:p>
    <w:p w14:paraId="1B18D58A" w14:textId="77777777" w:rsidR="00E67A7E" w:rsidRDefault="00E67A7E" w:rsidP="00E67A7E">
      <w:pPr>
        <w:pStyle w:val="Heading5"/>
        <w:rPr>
          <w:rStyle w:val="eop"/>
        </w:rPr>
      </w:pPr>
      <w:r w:rsidRPr="00E67A7E">
        <w:rPr>
          <w:rStyle w:val="normaltextrun"/>
        </w:rPr>
        <w:t>Points raised</w:t>
      </w:r>
      <w:r w:rsidRPr="00E67A7E">
        <w:rPr>
          <w:rStyle w:val="eop"/>
        </w:rPr>
        <w:t> </w:t>
      </w:r>
    </w:p>
    <w:p w14:paraId="650A571A" w14:textId="4C69E3E5" w:rsidR="00183542" w:rsidRDefault="00E75234" w:rsidP="00B37F01">
      <w:pPr>
        <w:pStyle w:val="BodyText"/>
        <w:numPr>
          <w:ilvl w:val="2"/>
          <w:numId w:val="25"/>
        </w:numPr>
      </w:pPr>
      <w:r>
        <w:t>First Gas is to</w:t>
      </w:r>
      <w:r w:rsidR="00183542">
        <w:t xml:space="preserve"> look at whether </w:t>
      </w:r>
      <w:r w:rsidR="00EC47B2">
        <w:t>IPs</w:t>
      </w:r>
      <w:r w:rsidR="00183542">
        <w:t xml:space="preserve"> at RPs should be treated differently to other parties to the GTAC in terms of rebates. In particular, it was suggested that a separate rebate mecha</w:t>
      </w:r>
      <w:r w:rsidR="00033E37">
        <w:t xml:space="preserve">nism should be created for </w:t>
      </w:r>
      <w:r w:rsidR="00EC47B2">
        <w:t>IPs</w:t>
      </w:r>
      <w:r w:rsidR="00033E37">
        <w:t xml:space="preserve"> at </w:t>
      </w:r>
      <w:r w:rsidR="00EC47B2">
        <w:t>RPs</w:t>
      </w:r>
      <w:r w:rsidR="00183542">
        <w:t xml:space="preserve"> in relation to incentive charges.</w:t>
      </w:r>
    </w:p>
    <w:p w14:paraId="1D14A843" w14:textId="6797E01A" w:rsidR="009336A3" w:rsidRDefault="002D1C09" w:rsidP="009336A3">
      <w:pPr>
        <w:pStyle w:val="Heading4"/>
        <w:rPr>
          <w:rStyle w:val="normaltextrun"/>
        </w:rPr>
      </w:pPr>
      <w:r>
        <w:rPr>
          <w:rStyle w:val="normaltextrun"/>
        </w:rPr>
        <w:t>Transmission incentive fees</w:t>
      </w:r>
    </w:p>
    <w:p w14:paraId="3C87E43D" w14:textId="77777777" w:rsidR="009336A3" w:rsidRDefault="009336A3" w:rsidP="009336A3">
      <w:pPr>
        <w:pStyle w:val="Heading5"/>
        <w:rPr>
          <w:rStyle w:val="normaltextrun"/>
        </w:rPr>
      </w:pPr>
      <w:r w:rsidRPr="005276CA">
        <w:rPr>
          <w:rStyle w:val="normaltextrun"/>
        </w:rPr>
        <w:t>FAP finding</w:t>
      </w:r>
      <w:r>
        <w:rPr>
          <w:rStyle w:val="normaltextrun"/>
        </w:rPr>
        <w:t>s</w:t>
      </w:r>
    </w:p>
    <w:p w14:paraId="2F94A226" w14:textId="21B39279" w:rsidR="007A6C06" w:rsidRDefault="007A6C06" w:rsidP="00B37F01">
      <w:pPr>
        <w:pStyle w:val="BodyText"/>
        <w:numPr>
          <w:ilvl w:val="2"/>
          <w:numId w:val="26"/>
        </w:numPr>
      </w:pPr>
      <w:r>
        <w:t>Incentive charges (daily overruns/underruns) not symmetrical (12)</w:t>
      </w:r>
    </w:p>
    <w:p w14:paraId="741D627E" w14:textId="0106F4A4" w:rsidR="007A6C06" w:rsidRDefault="007A6C06" w:rsidP="00B37F01">
      <w:pPr>
        <w:pStyle w:val="BodyText"/>
        <w:numPr>
          <w:ilvl w:val="2"/>
          <w:numId w:val="26"/>
        </w:numPr>
      </w:pPr>
      <w:r>
        <w:t>Level of incentive charges too high (12)</w:t>
      </w:r>
    </w:p>
    <w:p w14:paraId="2C81CD05" w14:textId="66EB3D8F" w:rsidR="007A6C06" w:rsidRDefault="007A6C06" w:rsidP="00B37F01">
      <w:pPr>
        <w:pStyle w:val="BodyText"/>
        <w:numPr>
          <w:ilvl w:val="2"/>
          <w:numId w:val="26"/>
        </w:numPr>
      </w:pPr>
      <w:r>
        <w:t>May encourage inefficient pipeline usage decisions or excessive efforts for nominations accuracy (54)</w:t>
      </w:r>
    </w:p>
    <w:p w14:paraId="28F657E9" w14:textId="4BD6E256" w:rsidR="007A6C06" w:rsidRDefault="007A6C06" w:rsidP="00B37F01">
      <w:pPr>
        <w:pStyle w:val="BodyText"/>
        <w:numPr>
          <w:ilvl w:val="2"/>
          <w:numId w:val="26"/>
        </w:numPr>
      </w:pPr>
      <w:r>
        <w:t>Higher fees should not apply at congested delivery points when congestion is not evident (13, 55)</w:t>
      </w:r>
    </w:p>
    <w:p w14:paraId="7E997EDE" w14:textId="15589C6A" w:rsidR="007A6C06" w:rsidRDefault="007A6C06" w:rsidP="00B37F01">
      <w:pPr>
        <w:pStyle w:val="BodyText"/>
        <w:numPr>
          <w:ilvl w:val="2"/>
          <w:numId w:val="26"/>
        </w:numPr>
      </w:pPr>
      <w:r>
        <w:t xml:space="preserve">High incentive charge reduces competition </w:t>
      </w:r>
      <w:r w:rsidR="00EC47B2">
        <w:t>if</w:t>
      </w:r>
      <w:r>
        <w:t xml:space="preserve"> not cost reflective (13, 60)</w:t>
      </w:r>
    </w:p>
    <w:p w14:paraId="61A5102B" w14:textId="0989B07E" w:rsidR="007A6C06" w:rsidRDefault="007A6C06" w:rsidP="00B37F01">
      <w:pPr>
        <w:pStyle w:val="BodyText"/>
        <w:numPr>
          <w:ilvl w:val="2"/>
          <w:numId w:val="26"/>
        </w:numPr>
      </w:pPr>
      <w:r>
        <w:t>Disproportionately high in non-congested situations (60)</w:t>
      </w:r>
    </w:p>
    <w:p w14:paraId="1ECE41CA" w14:textId="2CFB039F" w:rsidR="00D23F91" w:rsidRPr="002C7A8A" w:rsidRDefault="00EC47B2" w:rsidP="00B37F01">
      <w:pPr>
        <w:pStyle w:val="BodyText"/>
        <w:numPr>
          <w:ilvl w:val="2"/>
          <w:numId w:val="26"/>
        </w:numPr>
      </w:pPr>
      <w:r>
        <w:t xml:space="preserve">Similar concerns with </w:t>
      </w:r>
      <w:r w:rsidR="00A80A0C">
        <w:t>h</w:t>
      </w:r>
      <w:r w:rsidR="007A6C06">
        <w:t>ourly overrun fees and rebates</w:t>
      </w:r>
    </w:p>
    <w:p w14:paraId="69797523" w14:textId="05029041" w:rsidR="009336A3" w:rsidRDefault="009336A3" w:rsidP="009336A3">
      <w:pPr>
        <w:pStyle w:val="Heading5"/>
        <w:rPr>
          <w:rStyle w:val="eop"/>
        </w:rPr>
      </w:pPr>
      <w:r w:rsidRPr="005276CA">
        <w:rPr>
          <w:rStyle w:val="normaltextrun"/>
        </w:rPr>
        <w:t>Position reached</w:t>
      </w:r>
      <w:r w:rsidRPr="005276CA">
        <w:rPr>
          <w:rStyle w:val="eop"/>
        </w:rPr>
        <w:t> </w:t>
      </w:r>
    </w:p>
    <w:p w14:paraId="4A25ECD7" w14:textId="16A4F24F" w:rsidR="00660E80" w:rsidRDefault="003A4343" w:rsidP="00B37F01">
      <w:pPr>
        <w:pStyle w:val="BodyText"/>
        <w:numPr>
          <w:ilvl w:val="2"/>
          <w:numId w:val="27"/>
        </w:numPr>
      </w:pPr>
      <w:r>
        <w:t>The</w:t>
      </w:r>
      <w:r w:rsidR="002163E7">
        <w:t xml:space="preserve"> aggregate level of incentive fees would be reduced by reducing </w:t>
      </w:r>
      <w:r>
        <w:t>“</w:t>
      </w:r>
      <w:r w:rsidR="002163E7">
        <w:t>F</w:t>
      </w:r>
      <w:r>
        <w:t>”</w:t>
      </w:r>
      <w:r w:rsidR="002163E7">
        <w:t xml:space="preserve"> from 2 to 1.5. The incentive fees would be made symmetrical by changing the underrun fee to F-2 (the formula in section 11.4(b) of the GTAC)</w:t>
      </w:r>
      <w:r w:rsidR="00733947">
        <w:t>.</w:t>
      </w:r>
      <w:bookmarkStart w:id="0" w:name="_GoBack"/>
      <w:bookmarkEnd w:id="0"/>
      <w:r w:rsidR="002163E7">
        <w:t xml:space="preserve"> </w:t>
      </w:r>
    </w:p>
    <w:p w14:paraId="2E24A52B" w14:textId="77777777" w:rsidR="00660E80" w:rsidRDefault="003D02A3" w:rsidP="00B37F01">
      <w:pPr>
        <w:pStyle w:val="BodyText"/>
        <w:numPr>
          <w:ilvl w:val="2"/>
          <w:numId w:val="27"/>
        </w:numPr>
      </w:pPr>
      <w:r>
        <w:lastRenderedPageBreak/>
        <w:t>At a congested delivery point</w:t>
      </w:r>
      <w:r w:rsidR="002163E7">
        <w:t xml:space="preserve"> First Gas would</w:t>
      </w:r>
      <w:r>
        <w:t xml:space="preserve"> notify at every nomination cycle</w:t>
      </w:r>
      <w:r w:rsidR="00E23EAC">
        <w:t xml:space="preserve"> if congestion is likely</w:t>
      </w:r>
      <w:r w:rsidR="004E2541">
        <w:t xml:space="preserve"> to occur</w:t>
      </w:r>
      <w:r w:rsidR="003A4343">
        <w:t xml:space="preserve">.                   </w:t>
      </w:r>
    </w:p>
    <w:p w14:paraId="0DCBE3C1" w14:textId="4EE11F50" w:rsidR="00220027" w:rsidRPr="003D02A3" w:rsidRDefault="00F266F8" w:rsidP="00B37F01">
      <w:pPr>
        <w:pStyle w:val="BodyText"/>
        <w:numPr>
          <w:ilvl w:val="2"/>
          <w:numId w:val="27"/>
        </w:numPr>
      </w:pPr>
      <w:r>
        <w:t>The increased i</w:t>
      </w:r>
      <w:r w:rsidR="00220027">
        <w:t>ncentive fees</w:t>
      </w:r>
      <w:r>
        <w:t xml:space="preserve"> that apply to a congested delivery point</w:t>
      </w:r>
      <w:r w:rsidR="00220027">
        <w:t xml:space="preserve"> will apply when First Gas gives notice</w:t>
      </w:r>
      <w:r w:rsidR="00376C4D">
        <w:t xml:space="preserve"> of congestion</w:t>
      </w:r>
      <w:r w:rsidR="003A4343">
        <w:t>.</w:t>
      </w:r>
    </w:p>
    <w:p w14:paraId="15A912F9" w14:textId="50297F84" w:rsidR="00560C75" w:rsidRDefault="009336A3" w:rsidP="00560C75">
      <w:pPr>
        <w:pStyle w:val="Heading5"/>
        <w:rPr>
          <w:rStyle w:val="eop"/>
        </w:rPr>
      </w:pPr>
      <w:r w:rsidRPr="005276CA">
        <w:rPr>
          <w:rStyle w:val="normaltextrun"/>
        </w:rPr>
        <w:t>Points raised</w:t>
      </w:r>
      <w:r w:rsidRPr="005276CA">
        <w:rPr>
          <w:rStyle w:val="eop"/>
        </w:rPr>
        <w:t> </w:t>
      </w:r>
    </w:p>
    <w:p w14:paraId="2519E862" w14:textId="77777777" w:rsidR="00660E80" w:rsidRDefault="000404B6" w:rsidP="00B37F01">
      <w:pPr>
        <w:pStyle w:val="BodyText"/>
        <w:numPr>
          <w:ilvl w:val="2"/>
          <w:numId w:val="28"/>
        </w:numPr>
      </w:pPr>
      <w:r>
        <w:t>First Gas</w:t>
      </w:r>
      <w:r w:rsidR="00D224DC">
        <w:t xml:space="preserve"> to reconsider the amount of notice for the “Extra ID Cycle</w:t>
      </w:r>
      <w:r w:rsidR="00AE0C67">
        <w:t>”</w:t>
      </w:r>
      <w:r w:rsidR="00B9060B">
        <w:t>. In particular, whether 30 minutes or one hour was an appropriate notice period having regard to the interests of producers (who want a shorter notice period) and shippers (who want a longer notice period)</w:t>
      </w:r>
      <w:proofErr w:type="gramStart"/>
      <w:r w:rsidR="00B9060B">
        <w:t>.</w:t>
      </w:r>
      <w:proofErr w:type="gramEnd"/>
      <w:r w:rsidR="00B9060B">
        <w:t xml:space="preserve"> First Gas will seek feedback and present a proposal at a subsequent workshop. </w:t>
      </w:r>
      <w:r w:rsidR="00813CFC">
        <w:t xml:space="preserve">First Gas was asked to consider whether the notice period should be in a SOP (i.e. outside the GTAC) to enable the amount of notice to be easily adjusted.  </w:t>
      </w:r>
    </w:p>
    <w:p w14:paraId="78933E33" w14:textId="6DF4B172" w:rsidR="004E2541" w:rsidRPr="004E2541" w:rsidRDefault="004E2541" w:rsidP="00B37F01">
      <w:pPr>
        <w:pStyle w:val="BodyText"/>
        <w:numPr>
          <w:ilvl w:val="2"/>
          <w:numId w:val="28"/>
        </w:numPr>
      </w:pPr>
      <w:r>
        <w:t xml:space="preserve">First Gas to revisit the definition of </w:t>
      </w:r>
      <w:r w:rsidR="000404B6">
        <w:t>“</w:t>
      </w:r>
      <w:r>
        <w:t>co</w:t>
      </w:r>
      <w:r w:rsidR="000404B6">
        <w:t>ngestion’’. In particular,</w:t>
      </w:r>
      <w:r w:rsidR="00B85593">
        <w:t xml:space="preserve"> whether an unusual event, such</w:t>
      </w:r>
      <w:r w:rsidR="000404B6">
        <w:t xml:space="preserve"> </w:t>
      </w:r>
      <w:r w:rsidR="00B85593">
        <w:t>as a momentary constraint</w:t>
      </w:r>
      <w:r w:rsidR="000404B6">
        <w:t xml:space="preserve"> </w:t>
      </w:r>
      <w:r w:rsidR="00B85593">
        <w:t>could be captured within the existing definition</w:t>
      </w:r>
      <w:r w:rsidR="000404B6">
        <w:t xml:space="preserve">. </w:t>
      </w:r>
    </w:p>
    <w:p w14:paraId="09159C2A" w14:textId="561AA2AC" w:rsidR="009336A3" w:rsidRDefault="002D1C09" w:rsidP="00E67A7E">
      <w:pPr>
        <w:pStyle w:val="Heading4"/>
        <w:rPr>
          <w:rStyle w:val="normaltextrun"/>
        </w:rPr>
      </w:pPr>
      <w:r>
        <w:rPr>
          <w:rStyle w:val="normaltextrun"/>
        </w:rPr>
        <w:t>ERM charges</w:t>
      </w:r>
    </w:p>
    <w:p w14:paraId="7C43ABE5" w14:textId="1AC15AE4" w:rsidR="00660E80" w:rsidRDefault="00660E80" w:rsidP="00DE0D90">
      <w:pPr>
        <w:pStyle w:val="Heading5"/>
        <w:rPr>
          <w:rStyle w:val="normaltextrun"/>
        </w:rPr>
      </w:pPr>
      <w:r>
        <w:rPr>
          <w:rStyle w:val="normaltextrun"/>
        </w:rPr>
        <w:t>FAP findings</w:t>
      </w:r>
    </w:p>
    <w:p w14:paraId="067259DB" w14:textId="5C46F886" w:rsidR="00DE340B" w:rsidRDefault="00660E80" w:rsidP="00B37F01">
      <w:pPr>
        <w:pStyle w:val="BodyText"/>
        <w:numPr>
          <w:ilvl w:val="2"/>
          <w:numId w:val="29"/>
        </w:numPr>
      </w:pPr>
      <w:r>
        <w:t>Asymmetry of ERM charges may create</w:t>
      </w:r>
      <w:r w:rsidR="00EC47B2">
        <w:t xml:space="preserve"> an</w:t>
      </w:r>
      <w:r>
        <w:t xml:space="preserve"> inefficient incentive to park gas (15, 57)</w:t>
      </w:r>
    </w:p>
    <w:p w14:paraId="30738464" w14:textId="77777777" w:rsidR="00DE340B" w:rsidRDefault="00660E80" w:rsidP="00B37F01">
      <w:pPr>
        <w:pStyle w:val="BodyText"/>
        <w:numPr>
          <w:ilvl w:val="2"/>
          <w:numId w:val="29"/>
        </w:numPr>
      </w:pPr>
      <w:r>
        <w:t>ERM charge may not be effective relative to market spread (App D - 173)</w:t>
      </w:r>
    </w:p>
    <w:p w14:paraId="06C88DD6" w14:textId="03754848" w:rsidR="00660E80" w:rsidRPr="00660E80" w:rsidRDefault="00660E80" w:rsidP="00B37F01">
      <w:pPr>
        <w:pStyle w:val="BodyText"/>
        <w:numPr>
          <w:ilvl w:val="2"/>
          <w:numId w:val="29"/>
        </w:numPr>
      </w:pPr>
      <w:r>
        <w:t xml:space="preserve">ERM fees </w:t>
      </w:r>
      <w:r w:rsidR="00EC47B2">
        <w:t xml:space="preserve">can be changed if required </w:t>
      </w:r>
      <w:r>
        <w:t>(21)</w:t>
      </w:r>
    </w:p>
    <w:p w14:paraId="0D8C84B4" w14:textId="77777777" w:rsidR="00DE0D90" w:rsidRDefault="00DE0D90" w:rsidP="00DE0D90">
      <w:pPr>
        <w:pStyle w:val="Heading5"/>
        <w:rPr>
          <w:rStyle w:val="normaltextrun"/>
        </w:rPr>
      </w:pPr>
      <w:r>
        <w:rPr>
          <w:rStyle w:val="normaltextrun"/>
        </w:rPr>
        <w:t>Position reached</w:t>
      </w:r>
    </w:p>
    <w:p w14:paraId="2179868C" w14:textId="2F680E5B" w:rsidR="00DE340B" w:rsidRPr="007A713E" w:rsidRDefault="00E95EA0" w:rsidP="00B37F01">
      <w:pPr>
        <w:pStyle w:val="BodyText"/>
        <w:numPr>
          <w:ilvl w:val="2"/>
          <w:numId w:val="30"/>
        </w:numPr>
      </w:pPr>
      <w:r>
        <w:t xml:space="preserve">Balancing would be more effective if </w:t>
      </w:r>
      <w:r w:rsidR="00220027">
        <w:t>ERM cha</w:t>
      </w:r>
      <w:r w:rsidR="00714416">
        <w:t xml:space="preserve">rges </w:t>
      </w:r>
      <w:r>
        <w:t xml:space="preserve">are </w:t>
      </w:r>
      <w:r w:rsidR="00714416">
        <w:t>symmetric at $0.50/GJ (i.e. positive and negative ERM charge are the same). First Gas can change the ERM charge up to a maximum of</w:t>
      </w:r>
      <w:r w:rsidR="00220027">
        <w:t xml:space="preserve"> $1</w:t>
      </w:r>
      <w:r w:rsidR="00714416">
        <w:t>.00/GJ</w:t>
      </w:r>
      <w:r w:rsidR="00220027">
        <w:t xml:space="preserve">. </w:t>
      </w:r>
      <w:r w:rsidR="00714416">
        <w:t xml:space="preserve">A change to the ERM charge could make the charges for positive and negative ERM asymmetric </w:t>
      </w:r>
      <w:r w:rsidR="00220027">
        <w:t xml:space="preserve">if necessary to keep the pipeline balanced. </w:t>
      </w:r>
    </w:p>
    <w:p w14:paraId="3B7097A1" w14:textId="30A623DA" w:rsidR="00DE0D90" w:rsidRDefault="002D1C09" w:rsidP="00E67A7E">
      <w:pPr>
        <w:pStyle w:val="Heading4"/>
        <w:rPr>
          <w:rStyle w:val="normaltextrun"/>
        </w:rPr>
      </w:pPr>
      <w:r>
        <w:rPr>
          <w:rStyle w:val="normaltextrun"/>
        </w:rPr>
        <w:t xml:space="preserve">Review of peaking regime </w:t>
      </w:r>
    </w:p>
    <w:p w14:paraId="766464BD" w14:textId="77777777" w:rsidR="00E67A7E" w:rsidRDefault="00E67A7E" w:rsidP="005276CA">
      <w:pPr>
        <w:pStyle w:val="Heading5"/>
        <w:rPr>
          <w:rStyle w:val="eop"/>
        </w:rPr>
      </w:pPr>
      <w:r w:rsidRPr="005276CA">
        <w:rPr>
          <w:rStyle w:val="normaltextrun"/>
        </w:rPr>
        <w:t>Points raised</w:t>
      </w:r>
      <w:r w:rsidRPr="005276CA">
        <w:rPr>
          <w:rStyle w:val="eop"/>
        </w:rPr>
        <w:t> </w:t>
      </w:r>
    </w:p>
    <w:p w14:paraId="3A96409F" w14:textId="77777777" w:rsidR="00E521E8" w:rsidRDefault="002C7652" w:rsidP="00B37F01">
      <w:pPr>
        <w:pStyle w:val="BodyText"/>
        <w:numPr>
          <w:ilvl w:val="2"/>
          <w:numId w:val="31"/>
        </w:numPr>
      </w:pPr>
      <w:r>
        <w:t xml:space="preserve">In terms of the characteristics of flows to be included in the peaking regime, First Gas was asked to provide clarity </w:t>
      </w:r>
      <w:r w:rsidR="00BD1F37">
        <w:t>on the third characteristic (</w:t>
      </w:r>
      <w:r>
        <w:t>“Us</w:t>
      </w:r>
      <w:r>
        <w:rPr>
          <w:lang w:eastAsia="en-NZ"/>
        </w:rPr>
        <w:t xml:space="preserve">ers that have the capacity to take the more than 50% of the capacity of the network </w:t>
      </w:r>
      <w:r w:rsidRPr="00E521E8">
        <w:rPr>
          <w:i/>
          <w:lang w:eastAsia="en-NZ"/>
        </w:rPr>
        <w:t>at their location</w:t>
      </w:r>
      <w:r>
        <w:rPr>
          <w:lang w:eastAsia="en-NZ"/>
        </w:rPr>
        <w:t>”</w:t>
      </w:r>
      <w:r w:rsidR="00BD1F37">
        <w:rPr>
          <w:lang w:eastAsia="en-NZ"/>
        </w:rPr>
        <w:t>)</w:t>
      </w:r>
      <w:r>
        <w:rPr>
          <w:lang w:eastAsia="en-NZ"/>
        </w:rPr>
        <w:t>. In particular, First Gas should clarify what it meant by “at their location”</w:t>
      </w:r>
      <w:r w:rsidR="005C744D">
        <w:rPr>
          <w:lang w:eastAsia="en-NZ"/>
        </w:rPr>
        <w:t xml:space="preserve"> and consider a link to system impact</w:t>
      </w:r>
      <w:r w:rsidR="00AE1793">
        <w:rPr>
          <w:lang w:eastAsia="en-NZ"/>
        </w:rPr>
        <w:t xml:space="preserve"> rather than 50% of the capacity of the network</w:t>
      </w:r>
      <w:r w:rsidR="005C744D">
        <w:rPr>
          <w:lang w:eastAsia="en-NZ"/>
        </w:rPr>
        <w:t>.</w:t>
      </w:r>
    </w:p>
    <w:p w14:paraId="4FE0B93D" w14:textId="77777777" w:rsidR="00E521E8" w:rsidRDefault="00AE1793" w:rsidP="00B37F01">
      <w:pPr>
        <w:pStyle w:val="BodyText"/>
        <w:numPr>
          <w:ilvl w:val="2"/>
          <w:numId w:val="31"/>
        </w:numPr>
      </w:pPr>
      <w:r>
        <w:rPr>
          <w:lang w:eastAsia="en-NZ"/>
        </w:rPr>
        <w:t>In relation to charges under the peaking regime, First Gas was asked to consider</w:t>
      </w:r>
      <w:r w:rsidR="00DE340B">
        <w:rPr>
          <w:lang w:eastAsia="en-NZ"/>
        </w:rPr>
        <w:t>:</w:t>
      </w:r>
    </w:p>
    <w:p w14:paraId="0FCCBF16" w14:textId="429E46D4" w:rsidR="00E521E8" w:rsidRDefault="00DE340B" w:rsidP="00E521E8">
      <w:pPr>
        <w:pStyle w:val="aPara"/>
        <w:tabs>
          <w:tab w:val="clear" w:pos="680"/>
          <w:tab w:val="num" w:pos="1134"/>
        </w:tabs>
        <w:ind w:left="1134" w:hanging="425"/>
        <w:rPr>
          <w:lang w:eastAsia="en-NZ"/>
        </w:rPr>
      </w:pPr>
      <w:r>
        <w:rPr>
          <w:lang w:eastAsia="en-NZ"/>
        </w:rPr>
        <w:t>R</w:t>
      </w:r>
      <w:r w:rsidR="00E521E8">
        <w:rPr>
          <w:lang w:eastAsia="en-NZ"/>
        </w:rPr>
        <w:t>eplicating the daily</w:t>
      </w:r>
      <w:r w:rsidR="00AE1793">
        <w:rPr>
          <w:lang w:eastAsia="en-NZ"/>
        </w:rPr>
        <w:t xml:space="preserve"> </w:t>
      </w:r>
      <w:r w:rsidR="00E521E8">
        <w:rPr>
          <w:lang w:eastAsia="en-NZ"/>
        </w:rPr>
        <w:t xml:space="preserve">overrun and underrun </w:t>
      </w:r>
      <w:r w:rsidR="00AE1793">
        <w:rPr>
          <w:lang w:eastAsia="en-NZ"/>
        </w:rPr>
        <w:t>incentive arrangement</w:t>
      </w:r>
      <w:r w:rsidR="00E521E8">
        <w:rPr>
          <w:lang w:eastAsia="en-NZ"/>
        </w:rPr>
        <w:t>s on an hourly basis (to be</w:t>
      </w:r>
      <w:r w:rsidR="00EC47B2">
        <w:rPr>
          <w:lang w:eastAsia="en-NZ"/>
        </w:rPr>
        <w:t xml:space="preserve"> illustrated</w:t>
      </w:r>
      <w:r w:rsidR="00E521E8">
        <w:rPr>
          <w:lang w:eastAsia="en-NZ"/>
        </w:rPr>
        <w:t xml:space="preserve"> by a worked example)</w:t>
      </w:r>
      <w:r w:rsidR="00AE1793">
        <w:rPr>
          <w:lang w:eastAsia="en-NZ"/>
        </w:rPr>
        <w:t xml:space="preserve"> </w:t>
      </w:r>
    </w:p>
    <w:p w14:paraId="2E7ED2A2" w14:textId="03E39AE3" w:rsidR="00E521E8" w:rsidRDefault="00BF6295" w:rsidP="00E521E8">
      <w:pPr>
        <w:pStyle w:val="aPara"/>
        <w:tabs>
          <w:tab w:val="clear" w:pos="680"/>
          <w:tab w:val="num" w:pos="1134"/>
        </w:tabs>
        <w:ind w:left="1134" w:hanging="425"/>
        <w:rPr>
          <w:lang w:eastAsia="en-NZ"/>
        </w:rPr>
      </w:pPr>
      <w:r>
        <w:rPr>
          <w:lang w:eastAsia="en-NZ"/>
        </w:rPr>
        <w:t xml:space="preserve">Applying a three hour moving average deviation that exceeds a specified level to </w:t>
      </w:r>
      <w:r w:rsidR="007B05EE">
        <w:rPr>
          <w:lang w:eastAsia="en-NZ"/>
        </w:rPr>
        <w:t>recognise that sustained peaking is more likely to have an impact on the pipeline.</w:t>
      </w:r>
    </w:p>
    <w:p w14:paraId="7133A7F2" w14:textId="50A632C1" w:rsidR="00E521E8" w:rsidRDefault="00BF6295" w:rsidP="00E521E8">
      <w:pPr>
        <w:pStyle w:val="aPara"/>
        <w:tabs>
          <w:tab w:val="clear" w:pos="680"/>
          <w:tab w:val="num" w:pos="1134"/>
        </w:tabs>
        <w:ind w:left="1134" w:hanging="425"/>
        <w:rPr>
          <w:lang w:eastAsia="en-NZ"/>
        </w:rPr>
      </w:pPr>
      <w:r>
        <w:rPr>
          <w:lang w:eastAsia="en-NZ"/>
        </w:rPr>
        <w:t>W</w:t>
      </w:r>
      <w:r w:rsidR="00E521E8">
        <w:rPr>
          <w:lang w:eastAsia="en-NZ"/>
        </w:rPr>
        <w:t xml:space="preserve">hether </w:t>
      </w:r>
      <w:r>
        <w:rPr>
          <w:lang w:eastAsia="en-NZ"/>
        </w:rPr>
        <w:t>the peaking regime (and therefore the charges)</w:t>
      </w:r>
      <w:r w:rsidR="00E521E8">
        <w:rPr>
          <w:lang w:eastAsia="en-NZ"/>
        </w:rPr>
        <w:t xml:space="preserve"> should be subject to a minimum flow</w:t>
      </w:r>
      <w:r>
        <w:rPr>
          <w:lang w:eastAsia="en-NZ"/>
        </w:rPr>
        <w:t xml:space="preserve">. </w:t>
      </w:r>
    </w:p>
    <w:p w14:paraId="32C5AEAC" w14:textId="61DAAFF1" w:rsidR="00BF6295" w:rsidRDefault="00BF6295" w:rsidP="00E521E8">
      <w:pPr>
        <w:pStyle w:val="aPara"/>
        <w:tabs>
          <w:tab w:val="clear" w:pos="680"/>
          <w:tab w:val="num" w:pos="1134"/>
        </w:tabs>
        <w:ind w:left="1134" w:hanging="425"/>
        <w:rPr>
          <w:lang w:eastAsia="en-NZ"/>
        </w:rPr>
      </w:pPr>
      <w:r>
        <w:rPr>
          <w:lang w:eastAsia="en-NZ"/>
        </w:rPr>
        <w:t xml:space="preserve">Whether the charges under the scheme represent DNC </w:t>
      </w:r>
      <w:r>
        <w:rPr>
          <w:lang w:eastAsia="en-NZ"/>
        </w:rPr>
        <w:t>purchased</w:t>
      </w:r>
      <w:r w:rsidR="00EC47B2">
        <w:rPr>
          <w:lang w:eastAsia="en-NZ"/>
        </w:rPr>
        <w:t>,</w:t>
      </w:r>
      <w:r w:rsidR="00B37F01">
        <w:rPr>
          <w:lang w:eastAsia="en-NZ"/>
        </w:rPr>
        <w:t xml:space="preserve"> and </w:t>
      </w:r>
      <w:r w:rsidR="00E544D7">
        <w:rPr>
          <w:lang w:eastAsia="en-NZ"/>
        </w:rPr>
        <w:t>whether</w:t>
      </w:r>
      <w:r w:rsidR="00B37F01">
        <w:rPr>
          <w:lang w:eastAsia="en-NZ"/>
        </w:rPr>
        <w:t xml:space="preserve"> add</w:t>
      </w:r>
      <w:r w:rsidR="00EC47B2">
        <w:rPr>
          <w:lang w:eastAsia="en-NZ"/>
        </w:rPr>
        <w:t xml:space="preserve">ing it to </w:t>
      </w:r>
      <w:r w:rsidR="00B37F01">
        <w:rPr>
          <w:lang w:eastAsia="en-NZ"/>
        </w:rPr>
        <w:t>DNC for a day</w:t>
      </w:r>
      <w:r>
        <w:rPr>
          <w:lang w:eastAsia="en-NZ"/>
        </w:rPr>
        <w:t xml:space="preserve"> is appropriate</w:t>
      </w:r>
      <w:r>
        <w:rPr>
          <w:lang w:eastAsia="en-NZ"/>
        </w:rPr>
        <w:t xml:space="preserve">. </w:t>
      </w:r>
    </w:p>
    <w:p w14:paraId="589F9F93" w14:textId="1D9CA524" w:rsidR="00705C75" w:rsidRPr="004E2541" w:rsidRDefault="00705C75" w:rsidP="00705C75">
      <w:pPr>
        <w:pStyle w:val="1Para"/>
        <w:numPr>
          <w:ilvl w:val="2"/>
          <w:numId w:val="31"/>
        </w:numPr>
      </w:pPr>
      <w:r>
        <w:t xml:space="preserve">An additional point was raised for First Gas </w:t>
      </w:r>
      <w:r w:rsidR="00EC47B2">
        <w:t xml:space="preserve">to </w:t>
      </w:r>
      <w:r>
        <w:t xml:space="preserve">check whether there is a mechanism to </w:t>
      </w:r>
      <w:r w:rsidR="00B42083">
        <w:t>undertake regional curtailments</w:t>
      </w:r>
      <w:r w:rsidR="008719F7">
        <w:t xml:space="preserve"> (i.e. whether First Gas could scale back a particular profile or profiles pro rata)</w:t>
      </w:r>
      <w:r w:rsidR="00B42083">
        <w:t xml:space="preserve">. This related to the situation in section 10.3(b) of the </w:t>
      </w:r>
      <w:r w:rsidR="00EC47B2">
        <w:t>8</w:t>
      </w:r>
      <w:r w:rsidR="00B42083">
        <w:t xml:space="preserve"> December 2017 GTAC where congestion is in effect due to the current offtake of gas. </w:t>
      </w:r>
    </w:p>
    <w:p w14:paraId="5E3B2E2D" w14:textId="7A4B6B5D" w:rsidR="00705C75" w:rsidRDefault="00705C75" w:rsidP="00705C75">
      <w:pPr>
        <w:pStyle w:val="aPara"/>
        <w:numPr>
          <w:ilvl w:val="0"/>
          <w:numId w:val="0"/>
        </w:numPr>
        <w:rPr>
          <w:lang w:eastAsia="en-NZ"/>
        </w:rPr>
      </w:pPr>
      <w:r>
        <w:rPr>
          <w:lang w:eastAsia="en-NZ"/>
        </w:rPr>
        <w:t xml:space="preserve"> </w:t>
      </w:r>
    </w:p>
    <w:p w14:paraId="3A62CACB" w14:textId="7B0A98E5" w:rsidR="006F464B" w:rsidRDefault="006F464B" w:rsidP="00705C75">
      <w:pPr>
        <w:pStyle w:val="aPara"/>
        <w:numPr>
          <w:ilvl w:val="0"/>
          <w:numId w:val="0"/>
        </w:numPr>
        <w:rPr>
          <w:lang w:eastAsia="en-NZ"/>
        </w:rPr>
      </w:pPr>
      <w:r>
        <w:rPr>
          <w:lang w:eastAsia="en-NZ"/>
        </w:rPr>
        <w:t>The meeting closed at 3.00pm</w:t>
      </w:r>
    </w:p>
    <w:p w14:paraId="0B1513E7" w14:textId="77777777" w:rsidR="00705C75" w:rsidRDefault="00705C75" w:rsidP="00705C75">
      <w:pPr>
        <w:pStyle w:val="aPara"/>
        <w:numPr>
          <w:ilvl w:val="0"/>
          <w:numId w:val="0"/>
        </w:numPr>
        <w:ind w:left="680" w:hanging="340"/>
        <w:rPr>
          <w:lang w:eastAsia="en-NZ"/>
        </w:rPr>
      </w:pPr>
    </w:p>
    <w:p w14:paraId="029FA3EB" w14:textId="77777777" w:rsidR="00AE1793" w:rsidRDefault="00AE1793" w:rsidP="002C7652">
      <w:pPr>
        <w:pStyle w:val="BodyText"/>
        <w:rPr>
          <w:lang w:eastAsia="en-NZ"/>
        </w:rPr>
      </w:pPr>
    </w:p>
    <w:p w14:paraId="0A8E5326" w14:textId="77777777" w:rsidR="005C744D" w:rsidRPr="00DE0D90" w:rsidRDefault="005C744D" w:rsidP="002C7652">
      <w:pPr>
        <w:pStyle w:val="BodyText"/>
        <w:rPr>
          <w:lang w:eastAsia="en-NZ"/>
        </w:rPr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39B7" w14:textId="77777777" w:rsidR="00BD4334" w:rsidRDefault="00BD4334">
      <w:r>
        <w:separator/>
      </w:r>
    </w:p>
  </w:endnote>
  <w:endnote w:type="continuationSeparator" w:id="0">
    <w:p w14:paraId="45E88695" w14:textId="77777777" w:rsidR="00BD4334" w:rsidRDefault="00B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5F05" w14:textId="77777777" w:rsidR="00444BBF" w:rsidRDefault="00444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3B9A5F3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733947">
      <w:rPr>
        <w:noProof/>
      </w:rPr>
      <w:t>2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64482765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A2B3" w14:textId="77777777" w:rsidR="00BD4334" w:rsidRDefault="00BD4334">
      <w:r>
        <w:separator/>
      </w:r>
    </w:p>
  </w:footnote>
  <w:footnote w:type="continuationSeparator" w:id="0">
    <w:p w14:paraId="14F0929B" w14:textId="77777777" w:rsidR="00BD4334" w:rsidRDefault="00BD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17CA9" w14:textId="77777777" w:rsidR="00444BBF" w:rsidRDefault="00444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A71BC" w14:textId="6CD5C6BA" w:rsidR="00444BBF" w:rsidRDefault="00444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16FFFA10" w:rsidR="008B12A4" w:rsidRPr="00BB6B5D" w:rsidRDefault="00444BBF" w:rsidP="006D1357">
    <w:pPr>
      <w:pStyle w:val="zTitle"/>
    </w:pPr>
    <w:sdt>
      <w:sdtPr>
        <w:id w:val="-36375658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35D1DE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B12A4">
      <w:t>GTAC Workshop</w:t>
    </w:r>
    <w:r w:rsidR="000615B9">
      <w:t xml:space="preserve"> minutes</w:t>
    </w:r>
    <w:r w:rsidR="0034588E">
      <w:t xml:space="preserve"> </w:t>
    </w:r>
    <w:r w:rsidR="002C7A8A">
      <w:t xml:space="preserve">9 </w:t>
    </w:r>
    <w:r w:rsidR="0034588E">
      <w:t>August</w:t>
    </w:r>
    <w:r w:rsidR="008B12A4">
      <w:t xml:space="preserve"> 2018</w:t>
    </w:r>
  </w:p>
  <w:p w14:paraId="6C7B3E9C" w14:textId="77777777" w:rsidR="008B12A4" w:rsidRPr="00BB6B5D" w:rsidRDefault="008B12A4" w:rsidP="006D1357">
    <w:pPr>
      <w:pStyle w:val="zTitle"/>
    </w:pPr>
    <w:r w:rsidRPr="00BB6B5D">
      <w:t>At the offices of Gas Industry Company Limited</w:t>
    </w:r>
  </w:p>
  <w:p w14:paraId="4F1DE560" w14:textId="77777777" w:rsidR="008B12A4" w:rsidRPr="006D1357" w:rsidRDefault="008B12A4" w:rsidP="006D1357">
    <w:pPr>
      <w:pStyle w:val="zTitle"/>
    </w:pPr>
    <w:r w:rsidRPr="006D1357"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63AB"/>
    <w:multiLevelType w:val="multilevel"/>
    <w:tmpl w:val="D9E025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261C3F26"/>
    <w:multiLevelType w:val="multilevel"/>
    <w:tmpl w:val="CDF27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4F2C67"/>
    <w:multiLevelType w:val="multilevel"/>
    <w:tmpl w:val="4398A5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4BB76642"/>
    <w:multiLevelType w:val="multilevel"/>
    <w:tmpl w:val="99AE5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00FE"/>
    <w:multiLevelType w:val="multilevel"/>
    <w:tmpl w:val="863E88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5E6A40B4"/>
    <w:multiLevelType w:val="multilevel"/>
    <w:tmpl w:val="1AF80D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B866BB"/>
    <w:multiLevelType w:val="multilevel"/>
    <w:tmpl w:val="B2086D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5286A"/>
    <w:multiLevelType w:val="multilevel"/>
    <w:tmpl w:val="23CCBF48"/>
    <w:numStyleLink w:val="LISTzABC"/>
  </w:abstractNum>
  <w:abstractNum w:abstractNumId="21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2" w15:restartNumberingAfterBreak="0">
    <w:nsid w:val="6E660B54"/>
    <w:multiLevelType w:val="multilevel"/>
    <w:tmpl w:val="6C2648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43705"/>
    <w:multiLevelType w:val="multilevel"/>
    <w:tmpl w:val="E026A2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5"/>
  </w:num>
  <w:num w:numId="7">
    <w:abstractNumId w:val="15"/>
  </w:num>
  <w:num w:numId="8">
    <w:abstractNumId w:val="3"/>
  </w:num>
  <w:num w:numId="9">
    <w:abstractNumId w:val="21"/>
  </w:num>
  <w:num w:numId="10">
    <w:abstractNumId w:val="23"/>
  </w:num>
  <w:num w:numId="11">
    <w:abstractNumId w:val="13"/>
  </w:num>
  <w:num w:numId="12">
    <w:abstractNumId w:val="11"/>
  </w:num>
  <w:num w:numId="13">
    <w:abstractNumId w:val="19"/>
  </w:num>
  <w:num w:numId="14">
    <w:abstractNumId w:val="8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1"/>
  </w:num>
  <w:num w:numId="20">
    <w:abstractNumId w:val="7"/>
  </w:num>
  <w:num w:numId="21">
    <w:abstractNumId w:val="25"/>
  </w:num>
  <w:num w:numId="22">
    <w:abstractNumId w:val="16"/>
  </w:num>
  <w:num w:numId="23">
    <w:abstractNumId w:val="18"/>
  </w:num>
  <w:num w:numId="24">
    <w:abstractNumId w:val="17"/>
  </w:num>
  <w:num w:numId="25">
    <w:abstractNumId w:val="24"/>
  </w:num>
  <w:num w:numId="26">
    <w:abstractNumId w:val="14"/>
  </w:num>
  <w:num w:numId="27">
    <w:abstractNumId w:val="6"/>
  </w:num>
  <w:num w:numId="28">
    <w:abstractNumId w:val="12"/>
  </w:num>
  <w:num w:numId="29">
    <w:abstractNumId w:val="22"/>
  </w:num>
  <w:num w:numId="30">
    <w:abstractNumId w:val="0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2021"/>
    <w:rsid w:val="0000368F"/>
    <w:rsid w:val="000049C1"/>
    <w:rsid w:val="000152A4"/>
    <w:rsid w:val="000179C0"/>
    <w:rsid w:val="00022821"/>
    <w:rsid w:val="00024FC3"/>
    <w:rsid w:val="00025597"/>
    <w:rsid w:val="000339B5"/>
    <w:rsid w:val="00033E37"/>
    <w:rsid w:val="000378F8"/>
    <w:rsid w:val="000404B6"/>
    <w:rsid w:val="0004155C"/>
    <w:rsid w:val="000442BD"/>
    <w:rsid w:val="000615B9"/>
    <w:rsid w:val="00062949"/>
    <w:rsid w:val="0009248B"/>
    <w:rsid w:val="00092840"/>
    <w:rsid w:val="000A5246"/>
    <w:rsid w:val="000B1CE2"/>
    <w:rsid w:val="000C79C9"/>
    <w:rsid w:val="000D260A"/>
    <w:rsid w:val="000D40C7"/>
    <w:rsid w:val="000D46A5"/>
    <w:rsid w:val="000E2D79"/>
    <w:rsid w:val="000E4924"/>
    <w:rsid w:val="000F2A87"/>
    <w:rsid w:val="001010D2"/>
    <w:rsid w:val="001035C0"/>
    <w:rsid w:val="00115A00"/>
    <w:rsid w:val="00125C83"/>
    <w:rsid w:val="00131A91"/>
    <w:rsid w:val="0016141D"/>
    <w:rsid w:val="0016255F"/>
    <w:rsid w:val="00172A0F"/>
    <w:rsid w:val="00172C3F"/>
    <w:rsid w:val="00173D81"/>
    <w:rsid w:val="00183542"/>
    <w:rsid w:val="0018633B"/>
    <w:rsid w:val="001A2465"/>
    <w:rsid w:val="001A3C5B"/>
    <w:rsid w:val="001B4CFF"/>
    <w:rsid w:val="001D6DBC"/>
    <w:rsid w:val="001F14DD"/>
    <w:rsid w:val="001F39AE"/>
    <w:rsid w:val="00212D9D"/>
    <w:rsid w:val="00213C11"/>
    <w:rsid w:val="002163E7"/>
    <w:rsid w:val="00220027"/>
    <w:rsid w:val="00222ADA"/>
    <w:rsid w:val="00224054"/>
    <w:rsid w:val="00231556"/>
    <w:rsid w:val="00243546"/>
    <w:rsid w:val="00251594"/>
    <w:rsid w:val="0027610B"/>
    <w:rsid w:val="00290549"/>
    <w:rsid w:val="002947C2"/>
    <w:rsid w:val="002A05F8"/>
    <w:rsid w:val="002A5512"/>
    <w:rsid w:val="002A5D36"/>
    <w:rsid w:val="002A5E0D"/>
    <w:rsid w:val="002C1F54"/>
    <w:rsid w:val="002C67E8"/>
    <w:rsid w:val="002C7232"/>
    <w:rsid w:val="002C7652"/>
    <w:rsid w:val="002C7A8A"/>
    <w:rsid w:val="002D1C09"/>
    <w:rsid w:val="002D4366"/>
    <w:rsid w:val="002D6ADA"/>
    <w:rsid w:val="002E3AA9"/>
    <w:rsid w:val="002E53A9"/>
    <w:rsid w:val="002E6A47"/>
    <w:rsid w:val="00304AA7"/>
    <w:rsid w:val="00306C9E"/>
    <w:rsid w:val="00307F22"/>
    <w:rsid w:val="003140C4"/>
    <w:rsid w:val="003204D2"/>
    <w:rsid w:val="003259F2"/>
    <w:rsid w:val="00332948"/>
    <w:rsid w:val="0033370B"/>
    <w:rsid w:val="003376AE"/>
    <w:rsid w:val="00340F59"/>
    <w:rsid w:val="00344349"/>
    <w:rsid w:val="0034588E"/>
    <w:rsid w:val="00350239"/>
    <w:rsid w:val="00360C1F"/>
    <w:rsid w:val="00370166"/>
    <w:rsid w:val="00376C4D"/>
    <w:rsid w:val="00376F72"/>
    <w:rsid w:val="00383BEE"/>
    <w:rsid w:val="0039044F"/>
    <w:rsid w:val="00394526"/>
    <w:rsid w:val="003964AE"/>
    <w:rsid w:val="003A18A3"/>
    <w:rsid w:val="003A3847"/>
    <w:rsid w:val="003A4343"/>
    <w:rsid w:val="003A5308"/>
    <w:rsid w:val="003A5F57"/>
    <w:rsid w:val="003A7482"/>
    <w:rsid w:val="003B2CD6"/>
    <w:rsid w:val="003B3BF9"/>
    <w:rsid w:val="003C4245"/>
    <w:rsid w:val="003C49A4"/>
    <w:rsid w:val="003D02A3"/>
    <w:rsid w:val="003D170F"/>
    <w:rsid w:val="003E1404"/>
    <w:rsid w:val="003E2D55"/>
    <w:rsid w:val="003F198D"/>
    <w:rsid w:val="003F2AA3"/>
    <w:rsid w:val="00402BDC"/>
    <w:rsid w:val="004111FE"/>
    <w:rsid w:val="004128BD"/>
    <w:rsid w:val="0041386D"/>
    <w:rsid w:val="004245BB"/>
    <w:rsid w:val="00426229"/>
    <w:rsid w:val="00444BBF"/>
    <w:rsid w:val="0045141C"/>
    <w:rsid w:val="00464861"/>
    <w:rsid w:val="00471E4F"/>
    <w:rsid w:val="00477DCC"/>
    <w:rsid w:val="00481955"/>
    <w:rsid w:val="00481B86"/>
    <w:rsid w:val="00485EC4"/>
    <w:rsid w:val="00494367"/>
    <w:rsid w:val="004B0DD6"/>
    <w:rsid w:val="004B1258"/>
    <w:rsid w:val="004B2E25"/>
    <w:rsid w:val="004B614B"/>
    <w:rsid w:val="004D2813"/>
    <w:rsid w:val="004D7D83"/>
    <w:rsid w:val="004E0665"/>
    <w:rsid w:val="004E2271"/>
    <w:rsid w:val="004E2541"/>
    <w:rsid w:val="004E30B9"/>
    <w:rsid w:val="004F3C21"/>
    <w:rsid w:val="00504F39"/>
    <w:rsid w:val="0050546D"/>
    <w:rsid w:val="00514E0B"/>
    <w:rsid w:val="00516917"/>
    <w:rsid w:val="005170EC"/>
    <w:rsid w:val="00517204"/>
    <w:rsid w:val="00523D92"/>
    <w:rsid w:val="0052408F"/>
    <w:rsid w:val="005276CA"/>
    <w:rsid w:val="00530301"/>
    <w:rsid w:val="00532AE1"/>
    <w:rsid w:val="0053356B"/>
    <w:rsid w:val="00537CC9"/>
    <w:rsid w:val="00551436"/>
    <w:rsid w:val="005518E9"/>
    <w:rsid w:val="00560C75"/>
    <w:rsid w:val="00574BDB"/>
    <w:rsid w:val="005802A4"/>
    <w:rsid w:val="005932AB"/>
    <w:rsid w:val="00595307"/>
    <w:rsid w:val="005A10A2"/>
    <w:rsid w:val="005A5A14"/>
    <w:rsid w:val="005A790E"/>
    <w:rsid w:val="005B463E"/>
    <w:rsid w:val="005C44F2"/>
    <w:rsid w:val="005C60CA"/>
    <w:rsid w:val="005C744D"/>
    <w:rsid w:val="005D027A"/>
    <w:rsid w:val="005E6FA3"/>
    <w:rsid w:val="005F1733"/>
    <w:rsid w:val="005F4551"/>
    <w:rsid w:val="005F5D9F"/>
    <w:rsid w:val="00602C2D"/>
    <w:rsid w:val="00603BCF"/>
    <w:rsid w:val="00611370"/>
    <w:rsid w:val="006163FC"/>
    <w:rsid w:val="00622988"/>
    <w:rsid w:val="00623797"/>
    <w:rsid w:val="006304E5"/>
    <w:rsid w:val="00631579"/>
    <w:rsid w:val="006326FE"/>
    <w:rsid w:val="00633CD8"/>
    <w:rsid w:val="00642D82"/>
    <w:rsid w:val="00643349"/>
    <w:rsid w:val="00660CA5"/>
    <w:rsid w:val="00660E80"/>
    <w:rsid w:val="00662221"/>
    <w:rsid w:val="00665825"/>
    <w:rsid w:val="00675CA6"/>
    <w:rsid w:val="006868CF"/>
    <w:rsid w:val="006955D2"/>
    <w:rsid w:val="006A1169"/>
    <w:rsid w:val="006A2E7F"/>
    <w:rsid w:val="006B6E3A"/>
    <w:rsid w:val="006D1357"/>
    <w:rsid w:val="006D251A"/>
    <w:rsid w:val="006E2876"/>
    <w:rsid w:val="006F026D"/>
    <w:rsid w:val="006F0B21"/>
    <w:rsid w:val="006F13AF"/>
    <w:rsid w:val="006F464B"/>
    <w:rsid w:val="006F5F4A"/>
    <w:rsid w:val="007023A5"/>
    <w:rsid w:val="0070397A"/>
    <w:rsid w:val="00705918"/>
    <w:rsid w:val="00705C75"/>
    <w:rsid w:val="007075E5"/>
    <w:rsid w:val="00714416"/>
    <w:rsid w:val="007148A9"/>
    <w:rsid w:val="007229B3"/>
    <w:rsid w:val="00733947"/>
    <w:rsid w:val="0073486D"/>
    <w:rsid w:val="00742E7E"/>
    <w:rsid w:val="00745B4A"/>
    <w:rsid w:val="00755A6D"/>
    <w:rsid w:val="00756057"/>
    <w:rsid w:val="007578C8"/>
    <w:rsid w:val="007661A8"/>
    <w:rsid w:val="00773DAB"/>
    <w:rsid w:val="007746DB"/>
    <w:rsid w:val="0077699E"/>
    <w:rsid w:val="007A01AB"/>
    <w:rsid w:val="007A6123"/>
    <w:rsid w:val="007A6C06"/>
    <w:rsid w:val="007A713E"/>
    <w:rsid w:val="007A770E"/>
    <w:rsid w:val="007B05EE"/>
    <w:rsid w:val="007B0EE2"/>
    <w:rsid w:val="007B6DA4"/>
    <w:rsid w:val="007D3253"/>
    <w:rsid w:val="00813CFC"/>
    <w:rsid w:val="008172CD"/>
    <w:rsid w:val="0082631D"/>
    <w:rsid w:val="0083050D"/>
    <w:rsid w:val="008305B4"/>
    <w:rsid w:val="0083525F"/>
    <w:rsid w:val="00836253"/>
    <w:rsid w:val="00837291"/>
    <w:rsid w:val="008415DE"/>
    <w:rsid w:val="008418B1"/>
    <w:rsid w:val="008463BB"/>
    <w:rsid w:val="00847581"/>
    <w:rsid w:val="008514EA"/>
    <w:rsid w:val="0086313B"/>
    <w:rsid w:val="00866795"/>
    <w:rsid w:val="008719F7"/>
    <w:rsid w:val="00876758"/>
    <w:rsid w:val="00880285"/>
    <w:rsid w:val="00883D22"/>
    <w:rsid w:val="00890C0A"/>
    <w:rsid w:val="008A1C30"/>
    <w:rsid w:val="008B12A4"/>
    <w:rsid w:val="008B6CB5"/>
    <w:rsid w:val="008B789F"/>
    <w:rsid w:val="008C496E"/>
    <w:rsid w:val="008C7269"/>
    <w:rsid w:val="008D677E"/>
    <w:rsid w:val="008D694A"/>
    <w:rsid w:val="008E2C27"/>
    <w:rsid w:val="008E666D"/>
    <w:rsid w:val="008E6856"/>
    <w:rsid w:val="008E7E57"/>
    <w:rsid w:val="00901FF6"/>
    <w:rsid w:val="00902774"/>
    <w:rsid w:val="00902FC6"/>
    <w:rsid w:val="0090521A"/>
    <w:rsid w:val="00914260"/>
    <w:rsid w:val="009171D1"/>
    <w:rsid w:val="0092229D"/>
    <w:rsid w:val="009256A5"/>
    <w:rsid w:val="00931625"/>
    <w:rsid w:val="009336A3"/>
    <w:rsid w:val="00935959"/>
    <w:rsid w:val="009433BF"/>
    <w:rsid w:val="00943890"/>
    <w:rsid w:val="00950EA3"/>
    <w:rsid w:val="00955FE0"/>
    <w:rsid w:val="00971660"/>
    <w:rsid w:val="00983FB8"/>
    <w:rsid w:val="00983FCB"/>
    <w:rsid w:val="00986B08"/>
    <w:rsid w:val="00995558"/>
    <w:rsid w:val="009B37EA"/>
    <w:rsid w:val="009C20D6"/>
    <w:rsid w:val="009C2C7A"/>
    <w:rsid w:val="009C49C8"/>
    <w:rsid w:val="009C4CB6"/>
    <w:rsid w:val="009D4344"/>
    <w:rsid w:val="009E7086"/>
    <w:rsid w:val="009F7D8D"/>
    <w:rsid w:val="00A02057"/>
    <w:rsid w:val="00A37817"/>
    <w:rsid w:val="00A4110C"/>
    <w:rsid w:val="00A42C72"/>
    <w:rsid w:val="00A462E2"/>
    <w:rsid w:val="00A604AE"/>
    <w:rsid w:val="00A60674"/>
    <w:rsid w:val="00A61966"/>
    <w:rsid w:val="00A61BFD"/>
    <w:rsid w:val="00A63406"/>
    <w:rsid w:val="00A70425"/>
    <w:rsid w:val="00A80A0C"/>
    <w:rsid w:val="00A9503E"/>
    <w:rsid w:val="00A95C3B"/>
    <w:rsid w:val="00AA35BB"/>
    <w:rsid w:val="00AA564F"/>
    <w:rsid w:val="00AD06C6"/>
    <w:rsid w:val="00AE0C67"/>
    <w:rsid w:val="00AE1793"/>
    <w:rsid w:val="00AE4283"/>
    <w:rsid w:val="00AE75E8"/>
    <w:rsid w:val="00B00331"/>
    <w:rsid w:val="00B0392B"/>
    <w:rsid w:val="00B0775E"/>
    <w:rsid w:val="00B11940"/>
    <w:rsid w:val="00B139B7"/>
    <w:rsid w:val="00B13B18"/>
    <w:rsid w:val="00B14644"/>
    <w:rsid w:val="00B16453"/>
    <w:rsid w:val="00B20F4C"/>
    <w:rsid w:val="00B23449"/>
    <w:rsid w:val="00B37F01"/>
    <w:rsid w:val="00B42083"/>
    <w:rsid w:val="00B4209F"/>
    <w:rsid w:val="00B56379"/>
    <w:rsid w:val="00B60D98"/>
    <w:rsid w:val="00B65F65"/>
    <w:rsid w:val="00B7112D"/>
    <w:rsid w:val="00B71B63"/>
    <w:rsid w:val="00B7485D"/>
    <w:rsid w:val="00B810AB"/>
    <w:rsid w:val="00B85593"/>
    <w:rsid w:val="00B867F1"/>
    <w:rsid w:val="00B9060B"/>
    <w:rsid w:val="00B91A58"/>
    <w:rsid w:val="00BA0CC7"/>
    <w:rsid w:val="00BA528D"/>
    <w:rsid w:val="00BB2FC2"/>
    <w:rsid w:val="00BB6B5D"/>
    <w:rsid w:val="00BC07DD"/>
    <w:rsid w:val="00BC1B9A"/>
    <w:rsid w:val="00BD1F37"/>
    <w:rsid w:val="00BD384A"/>
    <w:rsid w:val="00BD4334"/>
    <w:rsid w:val="00BE06D5"/>
    <w:rsid w:val="00BE238F"/>
    <w:rsid w:val="00BE644A"/>
    <w:rsid w:val="00BF32D4"/>
    <w:rsid w:val="00BF6295"/>
    <w:rsid w:val="00C05FDD"/>
    <w:rsid w:val="00C10BA8"/>
    <w:rsid w:val="00C22967"/>
    <w:rsid w:val="00C26F32"/>
    <w:rsid w:val="00C345F7"/>
    <w:rsid w:val="00C373DA"/>
    <w:rsid w:val="00C41E46"/>
    <w:rsid w:val="00C44C8E"/>
    <w:rsid w:val="00C521BC"/>
    <w:rsid w:val="00C5412D"/>
    <w:rsid w:val="00C557FF"/>
    <w:rsid w:val="00C57278"/>
    <w:rsid w:val="00C660C5"/>
    <w:rsid w:val="00C66E83"/>
    <w:rsid w:val="00C713C3"/>
    <w:rsid w:val="00C74F30"/>
    <w:rsid w:val="00C94671"/>
    <w:rsid w:val="00CA06F0"/>
    <w:rsid w:val="00CA0E07"/>
    <w:rsid w:val="00CB003E"/>
    <w:rsid w:val="00CB13DD"/>
    <w:rsid w:val="00CB3D35"/>
    <w:rsid w:val="00CC77A5"/>
    <w:rsid w:val="00CD75B6"/>
    <w:rsid w:val="00CE4B62"/>
    <w:rsid w:val="00CE5918"/>
    <w:rsid w:val="00CE739C"/>
    <w:rsid w:val="00CF4CE3"/>
    <w:rsid w:val="00CF6A0F"/>
    <w:rsid w:val="00D01863"/>
    <w:rsid w:val="00D14C8E"/>
    <w:rsid w:val="00D17696"/>
    <w:rsid w:val="00D1795C"/>
    <w:rsid w:val="00D21338"/>
    <w:rsid w:val="00D224DC"/>
    <w:rsid w:val="00D227CC"/>
    <w:rsid w:val="00D23F91"/>
    <w:rsid w:val="00D27468"/>
    <w:rsid w:val="00D364FB"/>
    <w:rsid w:val="00D44A18"/>
    <w:rsid w:val="00D451CF"/>
    <w:rsid w:val="00D55F6F"/>
    <w:rsid w:val="00D61FAB"/>
    <w:rsid w:val="00D75DC1"/>
    <w:rsid w:val="00D941B1"/>
    <w:rsid w:val="00D9514F"/>
    <w:rsid w:val="00D965C0"/>
    <w:rsid w:val="00DA0BB3"/>
    <w:rsid w:val="00DB1426"/>
    <w:rsid w:val="00DB5B50"/>
    <w:rsid w:val="00DC3CE5"/>
    <w:rsid w:val="00DD441A"/>
    <w:rsid w:val="00DE0D90"/>
    <w:rsid w:val="00DE340B"/>
    <w:rsid w:val="00DE67C8"/>
    <w:rsid w:val="00DE7060"/>
    <w:rsid w:val="00DF2073"/>
    <w:rsid w:val="00E015BF"/>
    <w:rsid w:val="00E02CAE"/>
    <w:rsid w:val="00E1135C"/>
    <w:rsid w:val="00E23EAC"/>
    <w:rsid w:val="00E276F2"/>
    <w:rsid w:val="00E411C3"/>
    <w:rsid w:val="00E41EB3"/>
    <w:rsid w:val="00E4472A"/>
    <w:rsid w:val="00E4708D"/>
    <w:rsid w:val="00E521E8"/>
    <w:rsid w:val="00E544D7"/>
    <w:rsid w:val="00E61562"/>
    <w:rsid w:val="00E63DB2"/>
    <w:rsid w:val="00E67A7E"/>
    <w:rsid w:val="00E73F15"/>
    <w:rsid w:val="00E75234"/>
    <w:rsid w:val="00E76D67"/>
    <w:rsid w:val="00E86F18"/>
    <w:rsid w:val="00E9009F"/>
    <w:rsid w:val="00E90C9F"/>
    <w:rsid w:val="00E92FE6"/>
    <w:rsid w:val="00E95EA0"/>
    <w:rsid w:val="00E96F45"/>
    <w:rsid w:val="00EA2BCC"/>
    <w:rsid w:val="00EA4321"/>
    <w:rsid w:val="00EC0B10"/>
    <w:rsid w:val="00EC1C48"/>
    <w:rsid w:val="00EC3119"/>
    <w:rsid w:val="00EC47B2"/>
    <w:rsid w:val="00EE411D"/>
    <w:rsid w:val="00EE7602"/>
    <w:rsid w:val="00EF4E23"/>
    <w:rsid w:val="00F00E71"/>
    <w:rsid w:val="00F03185"/>
    <w:rsid w:val="00F0465E"/>
    <w:rsid w:val="00F04DC4"/>
    <w:rsid w:val="00F0656C"/>
    <w:rsid w:val="00F11E78"/>
    <w:rsid w:val="00F1332A"/>
    <w:rsid w:val="00F13950"/>
    <w:rsid w:val="00F139EF"/>
    <w:rsid w:val="00F15A26"/>
    <w:rsid w:val="00F22CA3"/>
    <w:rsid w:val="00F266F8"/>
    <w:rsid w:val="00F37429"/>
    <w:rsid w:val="00F63995"/>
    <w:rsid w:val="00F64E98"/>
    <w:rsid w:val="00F72F26"/>
    <w:rsid w:val="00F83ECC"/>
    <w:rsid w:val="00FB2D41"/>
    <w:rsid w:val="00FB35A4"/>
    <w:rsid w:val="00FB6A2D"/>
    <w:rsid w:val="00FC469B"/>
    <w:rsid w:val="00FD4A70"/>
    <w:rsid w:val="00FD561B"/>
    <w:rsid w:val="00FF292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/>
    <o:shapelayout v:ext="edit">
      <o:idmap v:ext="edit" data="1"/>
    </o:shapelayout>
  </w:shapeDefaults>
  <w:decimalSymbol w:val="."/>
  <w:listSeparator w:val=","/>
  <w14:docId w14:val="4E7BD3F0"/>
  <w15:docId w15:val="{4A083EF7-BF3F-4CDB-82A9-70A9FE1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customStyle="1" w:styleId="paragraph">
    <w:name w:val="paragraph"/>
    <w:basedOn w:val="Normal"/>
    <w:rsid w:val="00E6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E67A7E"/>
  </w:style>
  <w:style w:type="character" w:customStyle="1" w:styleId="eop">
    <w:name w:val="eop"/>
    <w:basedOn w:val="DefaultParagraphFont"/>
    <w:rsid w:val="00E67A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28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283"/>
    <w:rPr>
      <w:rFonts w:ascii="Tahoma" w:eastAsiaTheme="minorHAnsi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F53C8C2-084C-4F08-A18B-76DDF198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410</TotalTime>
  <Pages>3</Pages>
  <Words>783</Words>
  <Characters>3750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Tim Kerr</cp:lastModifiedBy>
  <cp:revision>40</cp:revision>
  <cp:lastPrinted>2018-06-25T02:33:00Z</cp:lastPrinted>
  <dcterms:created xsi:type="dcterms:W3CDTF">2018-08-10T00:48:00Z</dcterms:created>
  <dcterms:modified xsi:type="dcterms:W3CDTF">2018-08-16T05:41:00Z</dcterms:modified>
</cp:coreProperties>
</file>