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30C7A9AD" w:rsidR="00603BCF" w:rsidRDefault="00921F3A" w:rsidP="009C64AF">
      <w:pPr>
        <w:pStyle w:val="BodyText"/>
        <w:jc w:val="center"/>
      </w:pPr>
      <w:bookmarkStart w:id="0" w:name="_GoBack"/>
      <w:bookmarkEnd w:id="0"/>
      <w:r>
        <w:t>Tuesday</w:t>
      </w:r>
      <w:r w:rsidR="00787A97">
        <w:t xml:space="preserve"> </w:t>
      </w:r>
      <w:r>
        <w:t>4 September</w:t>
      </w:r>
      <w:r w:rsidR="00787A97">
        <w:t xml:space="preserve"> 2018 at 10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4862367B" w14:textId="39F23772" w:rsidR="004721CA" w:rsidRPr="00FB6A2D" w:rsidRDefault="004721CA" w:rsidP="00D32DAB">
      <w:pPr>
        <w:pStyle w:val="BodyText"/>
      </w:pPr>
      <w:r>
        <w:rPr>
          <w:szCs w:val="21"/>
        </w:rPr>
        <w:t xml:space="preserve">The workshop between 4 – 6 </w:t>
      </w:r>
      <w:proofErr w:type="gramStart"/>
      <w:r>
        <w:rPr>
          <w:szCs w:val="21"/>
        </w:rPr>
        <w:t>September</w:t>
      </w:r>
      <w:proofErr w:type="gramEnd"/>
      <w:r>
        <w:rPr>
          <w:szCs w:val="21"/>
        </w:rPr>
        <w:t xml:space="preserve"> was a “page turn” of the GTAC. These minutes record the key positions reached and points raised rather than detailed drafting comments. </w:t>
      </w:r>
    </w:p>
    <w:p w14:paraId="61F9911C" w14:textId="77777777" w:rsidR="00E015BF" w:rsidRDefault="00C345F7" w:rsidP="006D1357">
      <w:pPr>
        <w:pStyle w:val="Heading4"/>
      </w:pPr>
      <w:r>
        <w:t>Process matters</w:t>
      </w:r>
    </w:p>
    <w:p w14:paraId="57E4C160" w14:textId="57793B83" w:rsidR="00F0229C" w:rsidRDefault="004B5AB7" w:rsidP="004B5AB7">
      <w:pPr>
        <w:pStyle w:val="Heading5"/>
      </w:pPr>
      <w:r>
        <w:t>Position reached</w:t>
      </w:r>
    </w:p>
    <w:p w14:paraId="180B0CD6" w14:textId="5FE56F94" w:rsidR="00026FEA" w:rsidRPr="00026FEA" w:rsidRDefault="00026FEA" w:rsidP="00A2164C">
      <w:pPr>
        <w:pStyle w:val="NO1"/>
        <w:numPr>
          <w:ilvl w:val="2"/>
          <w:numId w:val="23"/>
        </w:numPr>
      </w:pPr>
      <w:r>
        <w:t>Gas Industry Co to extend the timeframe for stakeholders to provide comments on the minutes</w:t>
      </w:r>
      <w:r w:rsidR="00156019">
        <w:t xml:space="preserve"> of the 22-23 August workshop</w:t>
      </w:r>
      <w:r>
        <w:t xml:space="preserve">. </w:t>
      </w:r>
    </w:p>
    <w:p w14:paraId="7EE47077" w14:textId="1E4AC913" w:rsidR="00E015BF" w:rsidRDefault="00026FEA" w:rsidP="008B12A4">
      <w:pPr>
        <w:pStyle w:val="Heading4"/>
      </w:pPr>
      <w:r>
        <w:t>Definitions</w:t>
      </w:r>
    </w:p>
    <w:p w14:paraId="251531BF" w14:textId="6BA31E79" w:rsidR="00E67E5E" w:rsidRDefault="00E67E5E" w:rsidP="00E67E5E">
      <w:pPr>
        <w:pStyle w:val="Heading5"/>
      </w:pPr>
      <w:r>
        <w:t>Position reached</w:t>
      </w:r>
    </w:p>
    <w:p w14:paraId="02C3EDED" w14:textId="1577AAF9" w:rsidR="00315C02" w:rsidRDefault="00315C02" w:rsidP="00A2164C">
      <w:pPr>
        <w:pStyle w:val="NO1"/>
        <w:numPr>
          <w:ilvl w:val="2"/>
          <w:numId w:val="24"/>
        </w:numPr>
      </w:pPr>
      <w:r>
        <w:t>First G</w:t>
      </w:r>
      <w:r w:rsidR="008B06DD">
        <w:t>as to amend the definition of an Agreed Hourly Profile (AHP) to include reference to a “Receipt Point” (the reference to transmission capacity does not work in the context of a RP).</w:t>
      </w:r>
    </w:p>
    <w:p w14:paraId="58ABE03A" w14:textId="10C808C5" w:rsidR="00076985" w:rsidRDefault="00076985" w:rsidP="00A2164C">
      <w:pPr>
        <w:pStyle w:val="NO1"/>
        <w:numPr>
          <w:ilvl w:val="2"/>
          <w:numId w:val="24"/>
        </w:numPr>
      </w:pPr>
      <w:r>
        <w:t>First Gas to amend the definition of a “Bi-directional Point” to address the situation where a point may be either a</w:t>
      </w:r>
      <w:r w:rsidR="00B951CE">
        <w:t>n</w:t>
      </w:r>
      <w:r>
        <w:t xml:space="preserve"> RP or DP at particular times. </w:t>
      </w:r>
    </w:p>
    <w:p w14:paraId="65BD962C" w14:textId="0EC2D2CC" w:rsidR="006E28AB" w:rsidRDefault="006E28AB" w:rsidP="00A2164C">
      <w:pPr>
        <w:pStyle w:val="NO1"/>
        <w:numPr>
          <w:ilvl w:val="2"/>
          <w:numId w:val="24"/>
        </w:numPr>
      </w:pPr>
      <w:r>
        <w:t>First Gas would</w:t>
      </w:r>
      <w:r w:rsidR="00FC0B54">
        <w:t xml:space="preserve"> not</w:t>
      </w:r>
      <w:r>
        <w:t xml:space="preserve"> incorporate references to standard oper</w:t>
      </w:r>
      <w:r w:rsidR="00017EFA">
        <w:t xml:space="preserve">ating procedures into the GTAC, but the GTAC would include references to Interconnection Policy and Supplementary Agreement </w:t>
      </w:r>
      <w:r w:rsidR="00AE36B3">
        <w:t>P</w:t>
      </w:r>
      <w:r w:rsidR="00017EFA">
        <w:t xml:space="preserve">olicy. </w:t>
      </w:r>
    </w:p>
    <w:p w14:paraId="71DF708A" w14:textId="2C818E86" w:rsidR="00DD3030" w:rsidRDefault="00EF0B4C" w:rsidP="00A2164C">
      <w:pPr>
        <w:pStyle w:val="NO1"/>
        <w:numPr>
          <w:ilvl w:val="2"/>
          <w:numId w:val="24"/>
        </w:numPr>
      </w:pPr>
      <w:r>
        <w:t>First Gas to amend the definition of “Physical MHQ” so that the definition contemplates multiple shippers at a DP (the definition of a</w:t>
      </w:r>
      <w:r w:rsidR="002D62A5">
        <w:t>n</w:t>
      </w:r>
      <w:r>
        <w:t xml:space="preserve"> Hourly Delivery Quantity applies to just one shipper</w:t>
      </w:r>
      <w:r w:rsidR="002D62A5">
        <w:t>)</w:t>
      </w:r>
      <w:r>
        <w:t xml:space="preserve">. </w:t>
      </w:r>
    </w:p>
    <w:p w14:paraId="34681FB3" w14:textId="56F65425" w:rsidR="008D0E19" w:rsidRDefault="008D0E19" w:rsidP="00A2164C">
      <w:pPr>
        <w:pStyle w:val="NO1"/>
        <w:numPr>
          <w:ilvl w:val="2"/>
          <w:numId w:val="24"/>
        </w:numPr>
      </w:pPr>
      <w:r>
        <w:t xml:space="preserve">First Gas to amend the definition of “Daily Underrun Charge” to make Interruptible Agreements subject to those charges and ensure that there is no gap for a credit receivable. </w:t>
      </w:r>
    </w:p>
    <w:p w14:paraId="08D2194B" w14:textId="31ECD902" w:rsidR="00BD72C0" w:rsidRDefault="00FB02F0" w:rsidP="00A2164C">
      <w:pPr>
        <w:pStyle w:val="NO1"/>
        <w:numPr>
          <w:ilvl w:val="2"/>
          <w:numId w:val="24"/>
        </w:numPr>
      </w:pPr>
      <w:r>
        <w:t xml:space="preserve">First Gas to revisit the definition of “Running Mismatch Tolerance” to apportion </w:t>
      </w:r>
      <w:r w:rsidR="00AE36B3">
        <w:t>Line Pack Tolerance (</w:t>
      </w:r>
      <w:r>
        <w:t>L</w:t>
      </w:r>
      <w:r w:rsidR="00AE36B3">
        <w:t>P</w:t>
      </w:r>
      <w:r>
        <w:t>T</w:t>
      </w:r>
      <w:r w:rsidR="00AE36B3">
        <w:t>)</w:t>
      </w:r>
      <w:r>
        <w:t xml:space="preserve"> received between shippers and OBA parties and change the period for determination of the arithmetic average from 10 to 14 days.</w:t>
      </w:r>
    </w:p>
    <w:p w14:paraId="02B682FD" w14:textId="77777777" w:rsidR="00682B0D" w:rsidRDefault="00682B0D" w:rsidP="00682B0D">
      <w:pPr>
        <w:pStyle w:val="Heading5"/>
      </w:pPr>
      <w:r>
        <w:t>Points raised</w:t>
      </w:r>
    </w:p>
    <w:p w14:paraId="24087CD0" w14:textId="0D675FA2" w:rsidR="00EF0B4C" w:rsidRDefault="00315C02" w:rsidP="00A2164C">
      <w:pPr>
        <w:pStyle w:val="NO1"/>
        <w:numPr>
          <w:ilvl w:val="2"/>
          <w:numId w:val="24"/>
        </w:numPr>
      </w:pPr>
      <w:r>
        <w:t>First Gas to consider whether an “Emergency” or</w:t>
      </w:r>
      <w:r w:rsidR="00EF0B4C">
        <w:t xml:space="preserve"> “Force Majeure” under a TSA or ICA is treated as </w:t>
      </w:r>
      <w:r w:rsidR="00AE36B3">
        <w:t xml:space="preserve">an </w:t>
      </w:r>
      <w:r w:rsidR="00EF0B4C">
        <w:t xml:space="preserve">emergency for other RPs and DPs.  </w:t>
      </w:r>
    </w:p>
    <w:p w14:paraId="1AB77F81" w14:textId="2ECBE493" w:rsidR="006E28AB" w:rsidRDefault="00682B0D" w:rsidP="00A2164C">
      <w:pPr>
        <w:pStyle w:val="NO1"/>
        <w:numPr>
          <w:ilvl w:val="2"/>
          <w:numId w:val="24"/>
        </w:numPr>
      </w:pPr>
      <w:r>
        <w:t xml:space="preserve">First Gas to consider the extent to which a peaking party can be subject to an Hourly Overrun Charge. </w:t>
      </w:r>
    </w:p>
    <w:p w14:paraId="2F7DEAF6" w14:textId="0CABA1FB" w:rsidR="00B768B3" w:rsidRDefault="00B768B3" w:rsidP="00792E9E">
      <w:pPr>
        <w:pStyle w:val="Heading4"/>
      </w:pPr>
      <w:r>
        <w:lastRenderedPageBreak/>
        <w:t>Transmission Services</w:t>
      </w:r>
    </w:p>
    <w:p w14:paraId="14B25398" w14:textId="1A8F81CB" w:rsidR="00B768B3" w:rsidRPr="00B768B3" w:rsidRDefault="00F93E47" w:rsidP="00A2164C">
      <w:pPr>
        <w:pStyle w:val="NO1"/>
        <w:numPr>
          <w:ilvl w:val="2"/>
          <w:numId w:val="29"/>
        </w:numPr>
      </w:pPr>
      <w:r>
        <w:t>No matters require</w:t>
      </w:r>
      <w:r w:rsidR="008B2B78">
        <w:t xml:space="preserve"> further action</w:t>
      </w:r>
      <w:r w:rsidR="00B768B3">
        <w:t xml:space="preserve">. </w:t>
      </w:r>
    </w:p>
    <w:p w14:paraId="6C188AE3" w14:textId="67ADD298" w:rsidR="006E28AB" w:rsidRDefault="00792E9E" w:rsidP="00792E9E">
      <w:pPr>
        <w:pStyle w:val="Heading4"/>
      </w:pPr>
      <w:r>
        <w:t>Transmission products and zones</w:t>
      </w:r>
    </w:p>
    <w:p w14:paraId="1275006A" w14:textId="14C0117E" w:rsidR="00792E9E" w:rsidRDefault="00792E9E" w:rsidP="00792E9E">
      <w:pPr>
        <w:pStyle w:val="Heading5"/>
      </w:pPr>
      <w:r>
        <w:t>Positions reached</w:t>
      </w:r>
    </w:p>
    <w:p w14:paraId="6ECB031B" w14:textId="3E11C49E" w:rsidR="00792E9E" w:rsidRDefault="00792E9E" w:rsidP="00A2164C">
      <w:pPr>
        <w:pStyle w:val="NO1"/>
        <w:numPr>
          <w:ilvl w:val="2"/>
          <w:numId w:val="25"/>
        </w:numPr>
      </w:pPr>
      <w:r>
        <w:t xml:space="preserve">First Gas to change the notice period for a scheduled PR auction from 10 Business Days to 20 Business day with provision for a shorter notice period if required in the circumstances. </w:t>
      </w:r>
    </w:p>
    <w:p w14:paraId="252B6683" w14:textId="77777777" w:rsidR="00BA791F" w:rsidRPr="002E4900" w:rsidRDefault="00BA791F" w:rsidP="00A2164C">
      <w:pPr>
        <w:pStyle w:val="NO1"/>
        <w:numPr>
          <w:ilvl w:val="2"/>
          <w:numId w:val="25"/>
        </w:numPr>
      </w:pPr>
      <w:r w:rsidRPr="002E4900">
        <w:t xml:space="preserve">First Gas to remove the reference to approval of an AHP being subject to a shipper’s request for DNC in the same nominations cycle. </w:t>
      </w:r>
    </w:p>
    <w:p w14:paraId="74A020A8" w14:textId="4EF4B6B3" w:rsidR="00792E9E" w:rsidRDefault="00BA791F" w:rsidP="00A2164C">
      <w:pPr>
        <w:pStyle w:val="NO1"/>
        <w:numPr>
          <w:ilvl w:val="2"/>
          <w:numId w:val="25"/>
        </w:numPr>
      </w:pPr>
      <w:r>
        <w:t xml:space="preserve">First Gas to amend s 3.28(e) so that the dominant criteria for determining a peaking party is the impact on the system with First Gas having regard to the specific criteria listed in (a) to (d). </w:t>
      </w:r>
    </w:p>
    <w:p w14:paraId="6FA5EF2B" w14:textId="51CC7E60" w:rsidR="00691125" w:rsidRDefault="00691125" w:rsidP="00A2164C">
      <w:pPr>
        <w:pStyle w:val="NO1"/>
        <w:numPr>
          <w:ilvl w:val="2"/>
          <w:numId w:val="25"/>
        </w:numPr>
      </w:pPr>
      <w:r>
        <w:t>First Gas to add a reference to maintaining Target Taranaki Pressure (TTP) to s 3.31(e) to address concerns around the interrelationship between Acceptable Line Pack and TTP</w:t>
      </w:r>
      <w:r w:rsidR="00AE36B3">
        <w:t>.</w:t>
      </w:r>
    </w:p>
    <w:p w14:paraId="6598A317" w14:textId="67B3C208" w:rsidR="007703DD" w:rsidRPr="00792E9E" w:rsidRDefault="007703DD" w:rsidP="00A2164C">
      <w:pPr>
        <w:pStyle w:val="NO1"/>
        <w:numPr>
          <w:ilvl w:val="2"/>
          <w:numId w:val="25"/>
        </w:numPr>
      </w:pPr>
      <w:r>
        <w:t>Firs</w:t>
      </w:r>
      <w:r w:rsidR="00965074">
        <w:t>t Gas to give notice to a</w:t>
      </w:r>
      <w:r w:rsidR="00C84D2F">
        <w:t xml:space="preserve"> peaking party </w:t>
      </w:r>
      <w:r w:rsidR="00965074">
        <w:t xml:space="preserve">when it </w:t>
      </w:r>
      <w:r w:rsidR="00C84D2F">
        <w:t>ceases to be a peaking p</w:t>
      </w:r>
      <w:r>
        <w:t>arty</w:t>
      </w:r>
      <w:r w:rsidR="00C84D2F">
        <w:t xml:space="preserve"> for the purpose of the GTAC</w:t>
      </w:r>
      <w:r>
        <w:t xml:space="preserve">. </w:t>
      </w:r>
    </w:p>
    <w:p w14:paraId="2D9DAB44" w14:textId="276BD4AF" w:rsidR="00792E9E" w:rsidRDefault="00792E9E" w:rsidP="00792E9E">
      <w:pPr>
        <w:pStyle w:val="Heading5"/>
      </w:pPr>
      <w:r>
        <w:t>Points raised</w:t>
      </w:r>
    </w:p>
    <w:p w14:paraId="1ECA73CE" w14:textId="19CFDFBD" w:rsidR="000861AE" w:rsidRDefault="000861AE" w:rsidP="00A2164C">
      <w:pPr>
        <w:pStyle w:val="NO1"/>
        <w:numPr>
          <w:ilvl w:val="2"/>
          <w:numId w:val="26"/>
        </w:numPr>
      </w:pPr>
      <w:r>
        <w:t xml:space="preserve">First Gas to consider whether a shipper can be exposed to both Hourly Overrun Charges and peaking charges. </w:t>
      </w:r>
    </w:p>
    <w:p w14:paraId="3F70FE53" w14:textId="0BE6E586" w:rsidR="00BA791F" w:rsidRDefault="00B25C9F" w:rsidP="00B25C9F">
      <w:pPr>
        <w:pStyle w:val="Heading4"/>
      </w:pPr>
      <w:r>
        <w:t>Nominations</w:t>
      </w:r>
    </w:p>
    <w:p w14:paraId="26CC6FB9" w14:textId="00FD2311" w:rsidR="00B25C9F" w:rsidRDefault="00B25C9F" w:rsidP="00B25C9F">
      <w:pPr>
        <w:pStyle w:val="Heading5"/>
      </w:pPr>
      <w:r>
        <w:t xml:space="preserve">Position reached </w:t>
      </w:r>
    </w:p>
    <w:p w14:paraId="23690BFE" w14:textId="77777777" w:rsidR="00C0039C" w:rsidRDefault="00E12776" w:rsidP="00A2164C">
      <w:pPr>
        <w:pStyle w:val="NO1"/>
        <w:numPr>
          <w:ilvl w:val="2"/>
          <w:numId w:val="27"/>
        </w:numPr>
      </w:pPr>
      <w:r>
        <w:t>First Gas to amend the deemed flow provisions (</w:t>
      </w:r>
      <w:r w:rsidR="00A60094">
        <w:t xml:space="preserve">s </w:t>
      </w:r>
      <w:r>
        <w:t>4.16) to make a RP subject to section 4.16(a).</w:t>
      </w:r>
    </w:p>
    <w:p w14:paraId="43E47644" w14:textId="5CA4DA76" w:rsidR="00B64296" w:rsidRDefault="00C0039C" w:rsidP="00A2164C">
      <w:pPr>
        <w:pStyle w:val="NO1"/>
        <w:numPr>
          <w:ilvl w:val="2"/>
          <w:numId w:val="27"/>
        </w:numPr>
      </w:pPr>
      <w:r>
        <w:t>The wording in GTAC s 4.16</w:t>
      </w:r>
      <w:r w:rsidR="0043177A">
        <w:t xml:space="preserve"> (deemed flow)</w:t>
      </w:r>
      <w:r>
        <w:t xml:space="preserve"> will be amended so that it is permissive </w:t>
      </w:r>
      <w:r w:rsidR="008E1CBA">
        <w:t>to address concerns that</w:t>
      </w:r>
      <w:r>
        <w:t xml:space="preserve"> Interconnected Party (IP) approval</w:t>
      </w:r>
      <w:r w:rsidR="008E1CBA">
        <w:t xml:space="preserve"> will be overlooked</w:t>
      </w:r>
      <w:r w:rsidR="00B40964">
        <w:t>.</w:t>
      </w:r>
    </w:p>
    <w:p w14:paraId="0153582B" w14:textId="77777777" w:rsidR="00F66D2F" w:rsidRDefault="00B64296" w:rsidP="00A2164C">
      <w:pPr>
        <w:pStyle w:val="NO1"/>
        <w:numPr>
          <w:ilvl w:val="2"/>
          <w:numId w:val="27"/>
        </w:numPr>
      </w:pPr>
      <w:r>
        <w:t>First Gas to amend GTAC s 4.19 to provide it with the ability to call an Extra ID cycle with a request from a shipper or an IP</w:t>
      </w:r>
      <w:r w:rsidR="00DF6CFA">
        <w:t>.</w:t>
      </w:r>
    </w:p>
    <w:p w14:paraId="5BF1FB23" w14:textId="6C3ACC07" w:rsidR="00785DD4" w:rsidRPr="00E12776" w:rsidRDefault="00F66D2F" w:rsidP="00A2164C">
      <w:pPr>
        <w:pStyle w:val="NO1"/>
        <w:numPr>
          <w:ilvl w:val="2"/>
          <w:numId w:val="27"/>
        </w:numPr>
      </w:pPr>
      <w:r>
        <w:t>First Gas to amend the provisions regarding auto nominations for all</w:t>
      </w:r>
      <w:r w:rsidR="008E49B4">
        <w:t>ocation group 4 and 6 customers</w:t>
      </w:r>
      <w:r>
        <w:t xml:space="preserve"> to provide the ability for a shipper to opt</w:t>
      </w:r>
      <w:r w:rsidR="001805ED">
        <w:t xml:space="preserve"> out</w:t>
      </w:r>
      <w:r w:rsidR="00785501">
        <w:t xml:space="preserve"> of the auto nominations scheme</w:t>
      </w:r>
      <w:r>
        <w:t>.</w:t>
      </w:r>
    </w:p>
    <w:p w14:paraId="34000CF0" w14:textId="0A36E86B" w:rsidR="00B25C9F" w:rsidRDefault="00B25C9F" w:rsidP="00B25C9F">
      <w:pPr>
        <w:pStyle w:val="Heading5"/>
      </w:pPr>
      <w:r>
        <w:t>Points raised</w:t>
      </w:r>
    </w:p>
    <w:p w14:paraId="2B0FC14B" w14:textId="5EAC2915" w:rsidR="00B40964" w:rsidRDefault="00B40964" w:rsidP="00A2164C">
      <w:pPr>
        <w:pStyle w:val="NO1"/>
        <w:numPr>
          <w:ilvl w:val="2"/>
          <w:numId w:val="28"/>
        </w:numPr>
      </w:pPr>
      <w:r>
        <w:t>First Gas to consider</w:t>
      </w:r>
      <w:r w:rsidR="00B64296">
        <w:t xml:space="preserve"> stakeholder concerns regarding</w:t>
      </w:r>
      <w:r>
        <w:t xml:space="preserve"> publication </w:t>
      </w:r>
      <w:r w:rsidR="00B64296">
        <w:t>of the report on</w:t>
      </w:r>
      <w:r>
        <w:t xml:space="preserve"> the circumstances which led to the request for an Extra ID Cycle</w:t>
      </w:r>
      <w:r w:rsidR="00E46925">
        <w:t xml:space="preserve"> and the explanation of the need for an Extra ID cycle (GTAC </w:t>
      </w:r>
      <w:proofErr w:type="spellStart"/>
      <w:r w:rsidR="00E46925">
        <w:t>ss</w:t>
      </w:r>
      <w:proofErr w:type="spellEnd"/>
      <w:r w:rsidR="00E46925">
        <w:t xml:space="preserve"> 4.19 and 4.21)</w:t>
      </w:r>
      <w:r w:rsidR="00441F57">
        <w:t>.</w:t>
      </w:r>
    </w:p>
    <w:p w14:paraId="1453673C" w14:textId="4F0470FD" w:rsidR="00441F57" w:rsidRDefault="00441F57" w:rsidP="00A2164C">
      <w:pPr>
        <w:pStyle w:val="NO1"/>
        <w:numPr>
          <w:ilvl w:val="2"/>
          <w:numId w:val="28"/>
        </w:numPr>
      </w:pPr>
      <w:r>
        <w:lastRenderedPageBreak/>
        <w:t>Gas Industry Co to discuss with First Gas the information held by the Allocation Agent</w:t>
      </w:r>
      <w:r w:rsidR="00C90C37">
        <w:t xml:space="preserve"> in relation to customers in allocation group</w:t>
      </w:r>
      <w:r w:rsidR="00785501">
        <w:t>s</w:t>
      </w:r>
      <w:r w:rsidR="00C90C37">
        <w:t xml:space="preserve"> 4 and 6 and</w:t>
      </w:r>
      <w:r>
        <w:t xml:space="preserve"> the extent to which that information</w:t>
      </w:r>
      <w:r w:rsidR="00C90C37">
        <w:t xml:space="preserve"> can be used for the purpose of</w:t>
      </w:r>
      <w:r>
        <w:t xml:space="preserve"> s 4.24</w:t>
      </w:r>
      <w:r w:rsidR="00C90C37">
        <w:t>.</w:t>
      </w:r>
    </w:p>
    <w:p w14:paraId="277DCBA0" w14:textId="1B2DCF8A" w:rsidR="005C7662" w:rsidRDefault="00A2164C" w:rsidP="00B768B3">
      <w:pPr>
        <w:pStyle w:val="Heading4"/>
      </w:pPr>
      <w:r>
        <w:t>Energy Quantity Determination</w:t>
      </w:r>
    </w:p>
    <w:p w14:paraId="0A605EF4" w14:textId="6FF1BDF5" w:rsidR="00E925BB" w:rsidRDefault="00F93E47" w:rsidP="008B2B78">
      <w:pPr>
        <w:pStyle w:val="NO1"/>
        <w:numPr>
          <w:ilvl w:val="2"/>
          <w:numId w:val="29"/>
        </w:numPr>
      </w:pPr>
      <w:r>
        <w:t>No matters require</w:t>
      </w:r>
      <w:r w:rsidR="008B2B78">
        <w:t xml:space="preserve"> further action. </w:t>
      </w:r>
    </w:p>
    <w:p w14:paraId="68AF1B9E" w14:textId="20C36B4B" w:rsidR="00657C92" w:rsidRPr="00B768B3" w:rsidRDefault="00657C92" w:rsidP="00657C92">
      <w:pPr>
        <w:pStyle w:val="Heading4"/>
      </w:pPr>
      <w:r>
        <w:t>Energy Allocations</w:t>
      </w:r>
    </w:p>
    <w:p w14:paraId="10B90196" w14:textId="27EDA384" w:rsidR="00D8226A" w:rsidRDefault="00D8226A" w:rsidP="00685C2B">
      <w:pPr>
        <w:pStyle w:val="Heading5"/>
      </w:pPr>
      <w:r>
        <w:t>Position reached</w:t>
      </w:r>
    </w:p>
    <w:p w14:paraId="247E9A2E" w14:textId="6238C4ED" w:rsidR="00D8226A" w:rsidRPr="00D8226A" w:rsidRDefault="00D8226A" w:rsidP="00D8226A">
      <w:pPr>
        <w:pStyle w:val="NO1"/>
        <w:numPr>
          <w:ilvl w:val="2"/>
          <w:numId w:val="34"/>
        </w:numPr>
      </w:pPr>
      <w:r>
        <w:t>First Gas is to amend s 6.14 of the GTAC to provide that a shipper has to cease to be a party to an allocation agreement when it does not have a gas contract and a new shipper is permitted to become a party to the allocation agreement</w:t>
      </w:r>
      <w:r w:rsidR="00F32594">
        <w:t xml:space="preserve"> if</w:t>
      </w:r>
      <w:r w:rsidR="00637DDF">
        <w:t xml:space="preserve"> the new shipper has a contract to supply gas</w:t>
      </w:r>
      <w:r>
        <w:t xml:space="preserve">. </w:t>
      </w:r>
    </w:p>
    <w:p w14:paraId="6A917BF1" w14:textId="77777777" w:rsidR="00685C2B" w:rsidRDefault="00685C2B" w:rsidP="00685C2B">
      <w:pPr>
        <w:pStyle w:val="Heading5"/>
      </w:pPr>
      <w:r>
        <w:t>Points raised</w:t>
      </w:r>
    </w:p>
    <w:p w14:paraId="2C5F1698" w14:textId="2D6E85FE" w:rsidR="00B768B3" w:rsidRDefault="00685C2B" w:rsidP="00685C2B">
      <w:pPr>
        <w:pStyle w:val="NO1"/>
        <w:numPr>
          <w:ilvl w:val="2"/>
          <w:numId w:val="32"/>
        </w:numPr>
      </w:pPr>
      <w:r>
        <w:t xml:space="preserve">First Gas to consider the possibility that shippers may constrain interconnected parties by not entering into </w:t>
      </w:r>
      <w:r w:rsidR="006D087B">
        <w:t xml:space="preserve">a GTA. </w:t>
      </w:r>
    </w:p>
    <w:p w14:paraId="7BA61487" w14:textId="77777777" w:rsidR="006D087B" w:rsidRDefault="006D087B" w:rsidP="00C573F3">
      <w:pPr>
        <w:pStyle w:val="NO1"/>
        <w:numPr>
          <w:ilvl w:val="0"/>
          <w:numId w:val="0"/>
        </w:numPr>
        <w:ind w:left="720"/>
      </w:pPr>
    </w:p>
    <w:p w14:paraId="56F2965D" w14:textId="77777777" w:rsidR="00B768B3" w:rsidRDefault="00B768B3" w:rsidP="00B768B3">
      <w:pPr>
        <w:pStyle w:val="BodyText"/>
      </w:pPr>
    </w:p>
    <w:p w14:paraId="337F6320" w14:textId="77777777" w:rsidR="00B768B3" w:rsidRDefault="00B768B3" w:rsidP="00B768B3">
      <w:pPr>
        <w:pStyle w:val="BodyText"/>
      </w:pPr>
    </w:p>
    <w:p w14:paraId="390A8756" w14:textId="77777777" w:rsidR="00B768B3" w:rsidRDefault="00B768B3" w:rsidP="00B768B3">
      <w:pPr>
        <w:pStyle w:val="BodyText"/>
      </w:pPr>
    </w:p>
    <w:p w14:paraId="63F6B75F" w14:textId="77777777" w:rsidR="00B768B3" w:rsidRDefault="00B768B3" w:rsidP="00B768B3">
      <w:pPr>
        <w:pStyle w:val="BodyText"/>
      </w:pPr>
    </w:p>
    <w:p w14:paraId="0AE59C25" w14:textId="77777777" w:rsidR="00B768B3" w:rsidRDefault="00B768B3" w:rsidP="00B768B3">
      <w:pPr>
        <w:pStyle w:val="BodyText"/>
      </w:pPr>
    </w:p>
    <w:p w14:paraId="25A3E8BF" w14:textId="77777777" w:rsidR="00B768B3" w:rsidRDefault="00B768B3" w:rsidP="00B768B3">
      <w:pPr>
        <w:pStyle w:val="BodyText"/>
      </w:pPr>
    </w:p>
    <w:p w14:paraId="1C24AECC" w14:textId="77777777" w:rsidR="00B768B3" w:rsidRDefault="00B768B3" w:rsidP="00B768B3">
      <w:pPr>
        <w:pStyle w:val="BodyText"/>
      </w:pPr>
    </w:p>
    <w:p w14:paraId="46527F8E" w14:textId="77777777" w:rsidR="00B768B3" w:rsidRDefault="00B768B3" w:rsidP="00B768B3">
      <w:pPr>
        <w:pStyle w:val="BodyText"/>
      </w:pPr>
    </w:p>
    <w:p w14:paraId="65F4544F" w14:textId="77777777" w:rsidR="00B768B3" w:rsidRDefault="00B768B3" w:rsidP="00B768B3">
      <w:pPr>
        <w:pStyle w:val="BodyText"/>
      </w:pPr>
    </w:p>
    <w:p w14:paraId="69533FDA" w14:textId="77777777" w:rsidR="00B768B3" w:rsidRDefault="00B768B3" w:rsidP="00B768B3">
      <w:pPr>
        <w:pStyle w:val="BodyText"/>
      </w:pPr>
    </w:p>
    <w:p w14:paraId="39C57047" w14:textId="77777777" w:rsidR="00B768B3" w:rsidRDefault="00B768B3" w:rsidP="00B768B3">
      <w:pPr>
        <w:pStyle w:val="BodyText"/>
      </w:pPr>
    </w:p>
    <w:p w14:paraId="667124B7" w14:textId="77777777" w:rsidR="00B768B3" w:rsidRDefault="00B768B3" w:rsidP="00B768B3">
      <w:pPr>
        <w:pStyle w:val="BodyText"/>
      </w:pPr>
    </w:p>
    <w:p w14:paraId="1D9A60EA" w14:textId="77777777" w:rsidR="00B768B3" w:rsidRDefault="00B768B3" w:rsidP="00B768B3">
      <w:pPr>
        <w:pStyle w:val="BodyText"/>
      </w:pPr>
    </w:p>
    <w:p w14:paraId="4684C215" w14:textId="77777777" w:rsidR="00B768B3" w:rsidRDefault="00B768B3" w:rsidP="00B768B3">
      <w:pPr>
        <w:pStyle w:val="BodyText"/>
      </w:pPr>
    </w:p>
    <w:p w14:paraId="6E1667A2" w14:textId="77777777" w:rsidR="00B768B3" w:rsidRPr="00B768B3" w:rsidRDefault="00B768B3" w:rsidP="00B768B3">
      <w:pPr>
        <w:pStyle w:val="BodyText"/>
      </w:pPr>
    </w:p>
    <w:p w14:paraId="67CDC8A7" w14:textId="77777777" w:rsidR="00A60674" w:rsidRPr="0090521A" w:rsidRDefault="00A60674" w:rsidP="00643349">
      <w:pPr>
        <w:pStyle w:val="BodyText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17ECB" w14:textId="77777777" w:rsidR="00CD1126" w:rsidRDefault="00CD1126">
      <w:r>
        <w:separator/>
      </w:r>
    </w:p>
  </w:endnote>
  <w:endnote w:type="continuationSeparator" w:id="0">
    <w:p w14:paraId="495197D6" w14:textId="77777777" w:rsidR="00CD1126" w:rsidRDefault="00CD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4D7A" w14:textId="77777777" w:rsidR="00DD3030" w:rsidRDefault="00DD3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777777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5533C0">
      <w:rPr>
        <w:noProof/>
      </w:rPr>
      <w:t>3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77777777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DCE5" w14:textId="77777777" w:rsidR="00CD1126" w:rsidRDefault="00CD1126">
      <w:r>
        <w:separator/>
      </w:r>
    </w:p>
  </w:footnote>
  <w:footnote w:type="continuationSeparator" w:id="0">
    <w:p w14:paraId="486B7B66" w14:textId="77777777" w:rsidR="00CD1126" w:rsidRDefault="00CD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006E89CF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921F3A">
      <w:t xml:space="preserve"> 4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0E0D4A44"/>
    <w:multiLevelType w:val="multilevel"/>
    <w:tmpl w:val="A0B0F7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14736"/>
    <w:multiLevelType w:val="multilevel"/>
    <w:tmpl w:val="3FC6F3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2AC57B7B"/>
    <w:multiLevelType w:val="multilevel"/>
    <w:tmpl w:val="F6CC7E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27371E"/>
    <w:multiLevelType w:val="multilevel"/>
    <w:tmpl w:val="A0B0F7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3206"/>
    <w:multiLevelType w:val="multilevel"/>
    <w:tmpl w:val="ACB05D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94ACF"/>
    <w:multiLevelType w:val="multilevel"/>
    <w:tmpl w:val="6360EA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6D235EF"/>
    <w:multiLevelType w:val="multilevel"/>
    <w:tmpl w:val="C37603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6" w15:restartNumberingAfterBreak="0">
    <w:nsid w:val="4CB05212"/>
    <w:multiLevelType w:val="multilevel"/>
    <w:tmpl w:val="8F123D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5D246553"/>
    <w:multiLevelType w:val="multilevel"/>
    <w:tmpl w:val="D0027E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5286A"/>
    <w:multiLevelType w:val="multilevel"/>
    <w:tmpl w:val="23CCBF48"/>
    <w:numStyleLink w:val="LISTzABC"/>
  </w:abstractNum>
  <w:abstractNum w:abstractNumId="23" w15:restartNumberingAfterBreak="0">
    <w:nsid w:val="67D821C0"/>
    <w:multiLevelType w:val="multilevel"/>
    <w:tmpl w:val="FFEE07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367963"/>
    <w:multiLevelType w:val="multilevel"/>
    <w:tmpl w:val="3D42A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6" w15:restartNumberingAfterBreak="0">
    <w:nsid w:val="710F290C"/>
    <w:multiLevelType w:val="multilevel"/>
    <w:tmpl w:val="F20698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8"/>
  </w:num>
  <w:num w:numId="7">
    <w:abstractNumId w:val="18"/>
  </w:num>
  <w:num w:numId="8">
    <w:abstractNumId w:val="4"/>
  </w:num>
  <w:num w:numId="9">
    <w:abstractNumId w:val="25"/>
  </w:num>
  <w:num w:numId="10">
    <w:abstractNumId w:val="27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22"/>
  </w:num>
  <w:num w:numId="16">
    <w:abstractNumId w:val="5"/>
  </w:num>
  <w:num w:numId="17">
    <w:abstractNumId w:val="6"/>
  </w:num>
  <w:num w:numId="18">
    <w:abstractNumId w:val="13"/>
  </w:num>
  <w:num w:numId="19">
    <w:abstractNumId w:val="0"/>
  </w:num>
  <w:num w:numId="20">
    <w:abstractNumId w:val="9"/>
  </w:num>
  <w:num w:numId="21">
    <w:abstractNumId w:val="28"/>
  </w:num>
  <w:num w:numId="22">
    <w:abstractNumId w:val="19"/>
  </w:num>
  <w:num w:numId="23">
    <w:abstractNumId w:val="2"/>
  </w:num>
  <w:num w:numId="24">
    <w:abstractNumId w:val="12"/>
  </w:num>
  <w:num w:numId="25">
    <w:abstractNumId w:val="14"/>
  </w:num>
  <w:num w:numId="26">
    <w:abstractNumId w:val="11"/>
  </w:num>
  <w:num w:numId="27">
    <w:abstractNumId w:val="20"/>
  </w:num>
  <w:num w:numId="28">
    <w:abstractNumId w:val="23"/>
  </w:num>
  <w:num w:numId="29">
    <w:abstractNumId w:val="1"/>
  </w:num>
  <w:num w:numId="30">
    <w:abstractNumId w:val="8"/>
  </w:num>
  <w:num w:numId="31">
    <w:abstractNumId w:val="26"/>
  </w:num>
  <w:num w:numId="32">
    <w:abstractNumId w:val="16"/>
  </w:num>
  <w:num w:numId="33">
    <w:abstractNumId w:val="7"/>
  </w:num>
  <w:num w:numId="3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152A4"/>
    <w:rsid w:val="000179C0"/>
    <w:rsid w:val="00017EFA"/>
    <w:rsid w:val="00022821"/>
    <w:rsid w:val="00024FC3"/>
    <w:rsid w:val="00026FEA"/>
    <w:rsid w:val="0004155C"/>
    <w:rsid w:val="000442BD"/>
    <w:rsid w:val="000615B9"/>
    <w:rsid w:val="0006286F"/>
    <w:rsid w:val="00062949"/>
    <w:rsid w:val="00075FC0"/>
    <w:rsid w:val="00076985"/>
    <w:rsid w:val="000861AE"/>
    <w:rsid w:val="00092840"/>
    <w:rsid w:val="000B1CE2"/>
    <w:rsid w:val="000B548A"/>
    <w:rsid w:val="000C4FBE"/>
    <w:rsid w:val="000C79C9"/>
    <w:rsid w:val="000D260A"/>
    <w:rsid w:val="000D46A5"/>
    <w:rsid w:val="000D7D25"/>
    <w:rsid w:val="000E2D79"/>
    <w:rsid w:val="000E4924"/>
    <w:rsid w:val="000F19E6"/>
    <w:rsid w:val="000F2338"/>
    <w:rsid w:val="000F2A87"/>
    <w:rsid w:val="001010D2"/>
    <w:rsid w:val="001035C0"/>
    <w:rsid w:val="00103DE2"/>
    <w:rsid w:val="0011741F"/>
    <w:rsid w:val="00125C83"/>
    <w:rsid w:val="00131A91"/>
    <w:rsid w:val="00135807"/>
    <w:rsid w:val="0014516D"/>
    <w:rsid w:val="001502DE"/>
    <w:rsid w:val="00151A59"/>
    <w:rsid w:val="00156019"/>
    <w:rsid w:val="0016141D"/>
    <w:rsid w:val="0016255F"/>
    <w:rsid w:val="00166913"/>
    <w:rsid w:val="00172A0F"/>
    <w:rsid w:val="00172C3F"/>
    <w:rsid w:val="00173D58"/>
    <w:rsid w:val="00173D81"/>
    <w:rsid w:val="001805ED"/>
    <w:rsid w:val="0018633B"/>
    <w:rsid w:val="001A2465"/>
    <w:rsid w:val="001A7FCA"/>
    <w:rsid w:val="001B4CFF"/>
    <w:rsid w:val="001C3877"/>
    <w:rsid w:val="001D6DBC"/>
    <w:rsid w:val="001E5449"/>
    <w:rsid w:val="001E7654"/>
    <w:rsid w:val="001E7761"/>
    <w:rsid w:val="001F14DD"/>
    <w:rsid w:val="001F39AE"/>
    <w:rsid w:val="001F5EEB"/>
    <w:rsid w:val="00200EC8"/>
    <w:rsid w:val="00201755"/>
    <w:rsid w:val="00222ADA"/>
    <w:rsid w:val="00224054"/>
    <w:rsid w:val="00227340"/>
    <w:rsid w:val="00251594"/>
    <w:rsid w:val="00266C6F"/>
    <w:rsid w:val="0027610B"/>
    <w:rsid w:val="00290549"/>
    <w:rsid w:val="002947C2"/>
    <w:rsid w:val="002A05F8"/>
    <w:rsid w:val="002A18D0"/>
    <w:rsid w:val="002A4D95"/>
    <w:rsid w:val="002A5512"/>
    <w:rsid w:val="002A5D36"/>
    <w:rsid w:val="002A5E0D"/>
    <w:rsid w:val="002C1F54"/>
    <w:rsid w:val="002C67E8"/>
    <w:rsid w:val="002C7232"/>
    <w:rsid w:val="002D4366"/>
    <w:rsid w:val="002D62A5"/>
    <w:rsid w:val="002E210B"/>
    <w:rsid w:val="002E3AA9"/>
    <w:rsid w:val="002E4900"/>
    <w:rsid w:val="002E53A9"/>
    <w:rsid w:val="002E6A47"/>
    <w:rsid w:val="00302838"/>
    <w:rsid w:val="00304131"/>
    <w:rsid w:val="00306C15"/>
    <w:rsid w:val="00306C9E"/>
    <w:rsid w:val="00307F22"/>
    <w:rsid w:val="003140C4"/>
    <w:rsid w:val="00315C02"/>
    <w:rsid w:val="00317F21"/>
    <w:rsid w:val="003204D2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80523"/>
    <w:rsid w:val="00383BEE"/>
    <w:rsid w:val="0039044F"/>
    <w:rsid w:val="0039271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D170F"/>
    <w:rsid w:val="003D40E5"/>
    <w:rsid w:val="003D650E"/>
    <w:rsid w:val="003E1404"/>
    <w:rsid w:val="003E2D55"/>
    <w:rsid w:val="003F198D"/>
    <w:rsid w:val="003F2AA3"/>
    <w:rsid w:val="003F350E"/>
    <w:rsid w:val="003F5B53"/>
    <w:rsid w:val="00402BDC"/>
    <w:rsid w:val="004111FE"/>
    <w:rsid w:val="0041386D"/>
    <w:rsid w:val="004245BB"/>
    <w:rsid w:val="00424A0B"/>
    <w:rsid w:val="00426229"/>
    <w:rsid w:val="0043177A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C26"/>
    <w:rsid w:val="004832FF"/>
    <w:rsid w:val="00485EC4"/>
    <w:rsid w:val="0048722F"/>
    <w:rsid w:val="004924C9"/>
    <w:rsid w:val="00494367"/>
    <w:rsid w:val="004B0DD6"/>
    <w:rsid w:val="004B1258"/>
    <w:rsid w:val="004B2E25"/>
    <w:rsid w:val="004B5AB7"/>
    <w:rsid w:val="004B614B"/>
    <w:rsid w:val="004B7453"/>
    <w:rsid w:val="004D2813"/>
    <w:rsid w:val="004D7D83"/>
    <w:rsid w:val="004E2271"/>
    <w:rsid w:val="004E30B9"/>
    <w:rsid w:val="004F3C21"/>
    <w:rsid w:val="004F51CD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7CC9"/>
    <w:rsid w:val="00541DAB"/>
    <w:rsid w:val="00551436"/>
    <w:rsid w:val="005518E9"/>
    <w:rsid w:val="005533C0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5A14"/>
    <w:rsid w:val="005A790E"/>
    <w:rsid w:val="005B463E"/>
    <w:rsid w:val="005C60CA"/>
    <w:rsid w:val="005C6291"/>
    <w:rsid w:val="005C75D0"/>
    <w:rsid w:val="005C7662"/>
    <w:rsid w:val="005D027A"/>
    <w:rsid w:val="005E35F3"/>
    <w:rsid w:val="005F4551"/>
    <w:rsid w:val="005F5D9F"/>
    <w:rsid w:val="00602C2D"/>
    <w:rsid w:val="00603BCF"/>
    <w:rsid w:val="00611370"/>
    <w:rsid w:val="00612554"/>
    <w:rsid w:val="006163FC"/>
    <w:rsid w:val="00622E99"/>
    <w:rsid w:val="006326FE"/>
    <w:rsid w:val="00633CD8"/>
    <w:rsid w:val="00636DDA"/>
    <w:rsid w:val="00637DDF"/>
    <w:rsid w:val="00642D82"/>
    <w:rsid w:val="00643349"/>
    <w:rsid w:val="00653EA2"/>
    <w:rsid w:val="00657C92"/>
    <w:rsid w:val="00660CA5"/>
    <w:rsid w:val="00662221"/>
    <w:rsid w:val="00665825"/>
    <w:rsid w:val="00675CA6"/>
    <w:rsid w:val="00682B0D"/>
    <w:rsid w:val="00685C2B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087B"/>
    <w:rsid w:val="006D1357"/>
    <w:rsid w:val="006D251A"/>
    <w:rsid w:val="006D6427"/>
    <w:rsid w:val="006E1DDD"/>
    <w:rsid w:val="006E28AB"/>
    <w:rsid w:val="006F026D"/>
    <w:rsid w:val="006F072B"/>
    <w:rsid w:val="006F0B21"/>
    <w:rsid w:val="006F13AF"/>
    <w:rsid w:val="006F5F4A"/>
    <w:rsid w:val="00701200"/>
    <w:rsid w:val="007023A5"/>
    <w:rsid w:val="0070397A"/>
    <w:rsid w:val="00704133"/>
    <w:rsid w:val="00705918"/>
    <w:rsid w:val="00705F4C"/>
    <w:rsid w:val="007075E5"/>
    <w:rsid w:val="00710DC4"/>
    <w:rsid w:val="007148A9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DAB"/>
    <w:rsid w:val="007746DB"/>
    <w:rsid w:val="0078471A"/>
    <w:rsid w:val="00784E3F"/>
    <w:rsid w:val="00785501"/>
    <w:rsid w:val="00785DD4"/>
    <w:rsid w:val="00787A97"/>
    <w:rsid w:val="00792E9E"/>
    <w:rsid w:val="00795DFD"/>
    <w:rsid w:val="00796FEE"/>
    <w:rsid w:val="007A01AB"/>
    <w:rsid w:val="007A6123"/>
    <w:rsid w:val="007A770E"/>
    <w:rsid w:val="007B3D9F"/>
    <w:rsid w:val="007D3253"/>
    <w:rsid w:val="007D4FDE"/>
    <w:rsid w:val="007E1C6A"/>
    <w:rsid w:val="007E3253"/>
    <w:rsid w:val="007E4D55"/>
    <w:rsid w:val="007F6733"/>
    <w:rsid w:val="008050F1"/>
    <w:rsid w:val="00806790"/>
    <w:rsid w:val="00814304"/>
    <w:rsid w:val="008153A9"/>
    <w:rsid w:val="008172CD"/>
    <w:rsid w:val="0082631D"/>
    <w:rsid w:val="0083050D"/>
    <w:rsid w:val="008305B4"/>
    <w:rsid w:val="00834C55"/>
    <w:rsid w:val="0083525F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6758"/>
    <w:rsid w:val="00880285"/>
    <w:rsid w:val="00883D22"/>
    <w:rsid w:val="00890C0A"/>
    <w:rsid w:val="008A02AB"/>
    <w:rsid w:val="008A3BB5"/>
    <w:rsid w:val="008B06DD"/>
    <w:rsid w:val="008B12A4"/>
    <w:rsid w:val="008B2B78"/>
    <w:rsid w:val="008B6CB5"/>
    <w:rsid w:val="008C058A"/>
    <w:rsid w:val="008C0CC4"/>
    <w:rsid w:val="008C496E"/>
    <w:rsid w:val="008C7269"/>
    <w:rsid w:val="008D0E1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901FF6"/>
    <w:rsid w:val="00902774"/>
    <w:rsid w:val="00902FC6"/>
    <w:rsid w:val="0090521A"/>
    <w:rsid w:val="0091037E"/>
    <w:rsid w:val="00914260"/>
    <w:rsid w:val="009171D1"/>
    <w:rsid w:val="0091774A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65074"/>
    <w:rsid w:val="00971660"/>
    <w:rsid w:val="00976877"/>
    <w:rsid w:val="00983FB8"/>
    <w:rsid w:val="00983FCB"/>
    <w:rsid w:val="00986B08"/>
    <w:rsid w:val="009940A0"/>
    <w:rsid w:val="00995558"/>
    <w:rsid w:val="009B2601"/>
    <w:rsid w:val="009B37EA"/>
    <w:rsid w:val="009B4C3A"/>
    <w:rsid w:val="009C20D6"/>
    <w:rsid w:val="009C2C7A"/>
    <w:rsid w:val="009C49C8"/>
    <w:rsid w:val="009C4CB6"/>
    <w:rsid w:val="009C60C6"/>
    <w:rsid w:val="009C64AF"/>
    <w:rsid w:val="009D6AAA"/>
    <w:rsid w:val="009E7086"/>
    <w:rsid w:val="009F7D8D"/>
    <w:rsid w:val="00A20D30"/>
    <w:rsid w:val="00A2164C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406"/>
    <w:rsid w:val="00A943BB"/>
    <w:rsid w:val="00A9503E"/>
    <w:rsid w:val="00A95C3B"/>
    <w:rsid w:val="00AA35BB"/>
    <w:rsid w:val="00AA564F"/>
    <w:rsid w:val="00AC083D"/>
    <w:rsid w:val="00AC1C56"/>
    <w:rsid w:val="00AD06C6"/>
    <w:rsid w:val="00AE13C2"/>
    <w:rsid w:val="00AE36B3"/>
    <w:rsid w:val="00AE3DFF"/>
    <w:rsid w:val="00AE75E8"/>
    <w:rsid w:val="00B00331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40964"/>
    <w:rsid w:val="00B4338E"/>
    <w:rsid w:val="00B56379"/>
    <w:rsid w:val="00B60D98"/>
    <w:rsid w:val="00B64296"/>
    <w:rsid w:val="00B7112D"/>
    <w:rsid w:val="00B71B63"/>
    <w:rsid w:val="00B7485D"/>
    <w:rsid w:val="00B768B3"/>
    <w:rsid w:val="00B810AB"/>
    <w:rsid w:val="00B84DB8"/>
    <w:rsid w:val="00B867F1"/>
    <w:rsid w:val="00B91059"/>
    <w:rsid w:val="00B91A58"/>
    <w:rsid w:val="00B951CE"/>
    <w:rsid w:val="00BA528D"/>
    <w:rsid w:val="00BA791F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C0039C"/>
    <w:rsid w:val="00C05FDD"/>
    <w:rsid w:val="00C068B9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21BC"/>
    <w:rsid w:val="00C5412D"/>
    <w:rsid w:val="00C57278"/>
    <w:rsid w:val="00C573F3"/>
    <w:rsid w:val="00C6550C"/>
    <w:rsid w:val="00C660C5"/>
    <w:rsid w:val="00C66E83"/>
    <w:rsid w:val="00C713C3"/>
    <w:rsid w:val="00C74F30"/>
    <w:rsid w:val="00C778CF"/>
    <w:rsid w:val="00C84D2F"/>
    <w:rsid w:val="00C90C37"/>
    <w:rsid w:val="00C94671"/>
    <w:rsid w:val="00CA06F0"/>
    <w:rsid w:val="00CA0E07"/>
    <w:rsid w:val="00CB003E"/>
    <w:rsid w:val="00CB13DD"/>
    <w:rsid w:val="00CB3D35"/>
    <w:rsid w:val="00CB5B95"/>
    <w:rsid w:val="00CC1F9E"/>
    <w:rsid w:val="00CC6D80"/>
    <w:rsid w:val="00CC77A5"/>
    <w:rsid w:val="00CD1126"/>
    <w:rsid w:val="00CD4D6C"/>
    <w:rsid w:val="00CD75B6"/>
    <w:rsid w:val="00CE4B62"/>
    <w:rsid w:val="00CE5918"/>
    <w:rsid w:val="00CE739C"/>
    <w:rsid w:val="00CF5CB8"/>
    <w:rsid w:val="00D01863"/>
    <w:rsid w:val="00D05882"/>
    <w:rsid w:val="00D14C8E"/>
    <w:rsid w:val="00D17696"/>
    <w:rsid w:val="00D1795C"/>
    <w:rsid w:val="00D21338"/>
    <w:rsid w:val="00D227CC"/>
    <w:rsid w:val="00D27F6C"/>
    <w:rsid w:val="00D32DAB"/>
    <w:rsid w:val="00D364FB"/>
    <w:rsid w:val="00D44A18"/>
    <w:rsid w:val="00D451CF"/>
    <w:rsid w:val="00D53D0B"/>
    <w:rsid w:val="00D55F6F"/>
    <w:rsid w:val="00D61FAB"/>
    <w:rsid w:val="00D821A4"/>
    <w:rsid w:val="00D8226A"/>
    <w:rsid w:val="00D947EB"/>
    <w:rsid w:val="00D9514F"/>
    <w:rsid w:val="00D965C0"/>
    <w:rsid w:val="00DA0BB3"/>
    <w:rsid w:val="00DA7E9B"/>
    <w:rsid w:val="00DB1426"/>
    <w:rsid w:val="00DB472E"/>
    <w:rsid w:val="00DB5B50"/>
    <w:rsid w:val="00DD3030"/>
    <w:rsid w:val="00DD441A"/>
    <w:rsid w:val="00DE0F31"/>
    <w:rsid w:val="00DF2073"/>
    <w:rsid w:val="00DF6CFA"/>
    <w:rsid w:val="00E015BF"/>
    <w:rsid w:val="00E02CAE"/>
    <w:rsid w:val="00E047E1"/>
    <w:rsid w:val="00E1135C"/>
    <w:rsid w:val="00E12776"/>
    <w:rsid w:val="00E15F62"/>
    <w:rsid w:val="00E20C74"/>
    <w:rsid w:val="00E20DD3"/>
    <w:rsid w:val="00E22A97"/>
    <w:rsid w:val="00E276F2"/>
    <w:rsid w:val="00E411C3"/>
    <w:rsid w:val="00E4472A"/>
    <w:rsid w:val="00E46925"/>
    <w:rsid w:val="00E4708D"/>
    <w:rsid w:val="00E50B2C"/>
    <w:rsid w:val="00E55E82"/>
    <w:rsid w:val="00E61562"/>
    <w:rsid w:val="00E63DB2"/>
    <w:rsid w:val="00E65406"/>
    <w:rsid w:val="00E67E5E"/>
    <w:rsid w:val="00E76D67"/>
    <w:rsid w:val="00E87030"/>
    <w:rsid w:val="00E9009F"/>
    <w:rsid w:val="00E925BB"/>
    <w:rsid w:val="00E92FE6"/>
    <w:rsid w:val="00E96F45"/>
    <w:rsid w:val="00EA2BCC"/>
    <w:rsid w:val="00EA4321"/>
    <w:rsid w:val="00EB6647"/>
    <w:rsid w:val="00EC0B10"/>
    <w:rsid w:val="00EC3119"/>
    <w:rsid w:val="00EE411D"/>
    <w:rsid w:val="00EE7602"/>
    <w:rsid w:val="00EF0B4C"/>
    <w:rsid w:val="00F00E71"/>
    <w:rsid w:val="00F0229C"/>
    <w:rsid w:val="00F0465E"/>
    <w:rsid w:val="00F0656C"/>
    <w:rsid w:val="00F06925"/>
    <w:rsid w:val="00F11E78"/>
    <w:rsid w:val="00F1332A"/>
    <w:rsid w:val="00F13950"/>
    <w:rsid w:val="00F14050"/>
    <w:rsid w:val="00F15A26"/>
    <w:rsid w:val="00F22CA3"/>
    <w:rsid w:val="00F32594"/>
    <w:rsid w:val="00F359AD"/>
    <w:rsid w:val="00F37429"/>
    <w:rsid w:val="00F46FF7"/>
    <w:rsid w:val="00F53776"/>
    <w:rsid w:val="00F55172"/>
    <w:rsid w:val="00F60F2D"/>
    <w:rsid w:val="00F63995"/>
    <w:rsid w:val="00F64E98"/>
    <w:rsid w:val="00F66D2F"/>
    <w:rsid w:val="00F83ECC"/>
    <w:rsid w:val="00F861EF"/>
    <w:rsid w:val="00F932EA"/>
    <w:rsid w:val="00F93E47"/>
    <w:rsid w:val="00FB02F0"/>
    <w:rsid w:val="00FB3077"/>
    <w:rsid w:val="00FB35A4"/>
    <w:rsid w:val="00FB6A2D"/>
    <w:rsid w:val="00FC0B54"/>
    <w:rsid w:val="00FC653C"/>
    <w:rsid w:val="00FD4A70"/>
    <w:rsid w:val="00FD561B"/>
    <w:rsid w:val="00FE02DE"/>
    <w:rsid w:val="00FE6F76"/>
    <w:rsid w:val="00FF061A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2018-10-31T02:24:00Z</dcterms:created>
  <dcterms:modified xsi:type="dcterms:W3CDTF">2018-10-31T02:24:00Z</dcterms:modified>
</cp:coreProperties>
</file>